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F3C" w:rsidRDefault="00A37F3C" w:rsidP="000750E5">
      <w:pPr>
        <w:spacing w:beforeLines="50" w:afterLines="50"/>
        <w:ind w:firstLineChars="0" w:firstLine="0"/>
        <w:jc w:val="center"/>
        <w:rPr>
          <w:rFonts w:eastAsia="黑体" w:cs="Times New Roman"/>
          <w:b/>
          <w:bCs/>
          <w:sz w:val="40"/>
          <w:szCs w:val="36"/>
        </w:rPr>
      </w:pPr>
    </w:p>
    <w:p w:rsidR="00A37F3C" w:rsidRDefault="000402D8" w:rsidP="000750E5">
      <w:pPr>
        <w:spacing w:beforeLines="50" w:afterLines="50"/>
        <w:ind w:firstLineChars="0" w:firstLine="0"/>
        <w:jc w:val="center"/>
        <w:rPr>
          <w:rFonts w:eastAsia="黑体" w:cs="Times New Roman"/>
          <w:b/>
          <w:bCs/>
          <w:sz w:val="40"/>
          <w:szCs w:val="36"/>
        </w:rPr>
      </w:pPr>
      <w:r>
        <w:rPr>
          <w:rFonts w:eastAsia="黑体" w:cs="Times New Roman"/>
          <w:b/>
          <w:bCs/>
          <w:sz w:val="40"/>
          <w:szCs w:val="36"/>
        </w:rPr>
        <w:t>汕头市</w:t>
      </w:r>
      <w:r>
        <w:rPr>
          <w:rFonts w:eastAsia="黑体" w:cs="Times New Roman" w:hint="eastAsia"/>
          <w:b/>
          <w:bCs/>
          <w:sz w:val="40"/>
          <w:szCs w:val="36"/>
        </w:rPr>
        <w:t>潮阳区</w:t>
      </w:r>
      <w:r>
        <w:rPr>
          <w:rFonts w:eastAsia="黑体" w:cs="Times New Roman" w:hint="eastAsia"/>
          <w:b/>
          <w:bCs/>
          <w:sz w:val="40"/>
          <w:szCs w:val="36"/>
        </w:rPr>
        <w:t>2022</w:t>
      </w:r>
      <w:r>
        <w:rPr>
          <w:rFonts w:eastAsia="黑体" w:cs="Times New Roman"/>
          <w:b/>
          <w:bCs/>
          <w:sz w:val="40"/>
          <w:szCs w:val="36"/>
        </w:rPr>
        <w:t>年度土地征收成片开发方案</w:t>
      </w:r>
    </w:p>
    <w:p w:rsidR="00A37F3C" w:rsidRDefault="000402D8" w:rsidP="000750E5">
      <w:pPr>
        <w:spacing w:beforeLines="50" w:after="0"/>
        <w:ind w:firstLineChars="0" w:firstLine="0"/>
        <w:jc w:val="center"/>
        <w:rPr>
          <w:rFonts w:eastAsia="黑体" w:cs="Times New Roman"/>
          <w:b/>
          <w:bCs/>
          <w:sz w:val="40"/>
          <w:szCs w:val="36"/>
        </w:rPr>
      </w:pPr>
      <w:r>
        <w:rPr>
          <w:rFonts w:eastAsia="黑体" w:cs="Times New Roman"/>
          <w:b/>
          <w:bCs/>
          <w:sz w:val="40"/>
          <w:szCs w:val="36"/>
        </w:rPr>
        <w:t>（草案）</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一、编制背景</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中华人民共和国土地管理法》（以下简称《土地管理法》）第四十五条规定了可以实施征收土地的六项情形，其中第（五）项为“在土地利用总体规划确定的城镇建设用地范围内，经省级以上人民政府批准由县级以上地方人民政府组织实施的成片开发建设需要用地的”，同时规定了“成片开发应当符合国务院自然资源部门规定的标准”，该项规定对征收集体土地进行了规范。以招拍挂方式出让的经营性项目用地，只有符合土地征收成片开发的规定和条件，才可以依法实施土地征收。</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二、编制范围及实施期限</w:t>
      </w:r>
    </w:p>
    <w:p w:rsidR="00A37F3C" w:rsidRDefault="000402D8">
      <w:pPr>
        <w:spacing w:after="0"/>
        <w:ind w:firstLine="560"/>
        <w:rPr>
          <w:rFonts w:eastAsia="仿宋" w:cs="Times New Roman"/>
          <w:sz w:val="28"/>
          <w:szCs w:val="28"/>
        </w:rPr>
      </w:pPr>
      <w:r>
        <w:rPr>
          <w:rFonts w:eastAsia="仿宋" w:cs="Times New Roman" w:hint="eastAsia"/>
          <w:sz w:val="28"/>
          <w:szCs w:val="28"/>
        </w:rPr>
        <w:t>本次《汕头市潮阳区</w:t>
      </w:r>
      <w:r>
        <w:rPr>
          <w:rFonts w:eastAsia="仿宋" w:cs="Times New Roman" w:hint="eastAsia"/>
          <w:sz w:val="28"/>
          <w:szCs w:val="28"/>
        </w:rPr>
        <w:t>2022</w:t>
      </w:r>
      <w:r>
        <w:rPr>
          <w:rFonts w:eastAsia="仿宋" w:cs="Times New Roman" w:hint="eastAsia"/>
          <w:sz w:val="28"/>
          <w:szCs w:val="28"/>
        </w:rPr>
        <w:t>年度土地征收成片开发方案》（以下简称《方案》）编制范围为汕头市潮阳区行政辖区。实施期限为三年，自</w:t>
      </w:r>
      <w:r>
        <w:rPr>
          <w:rFonts w:eastAsia="仿宋" w:cs="Times New Roman" w:hint="eastAsia"/>
          <w:sz w:val="28"/>
          <w:szCs w:val="28"/>
        </w:rPr>
        <w:t>2022</w:t>
      </w:r>
      <w:r>
        <w:rPr>
          <w:rFonts w:eastAsia="仿宋" w:cs="Times New Roman" w:hint="eastAsia"/>
          <w:sz w:val="28"/>
          <w:szCs w:val="28"/>
        </w:rPr>
        <w:t>年至</w:t>
      </w:r>
      <w:r>
        <w:rPr>
          <w:rFonts w:eastAsia="仿宋" w:cs="Times New Roman" w:hint="eastAsia"/>
          <w:sz w:val="28"/>
          <w:szCs w:val="28"/>
        </w:rPr>
        <w:t>2024</w:t>
      </w:r>
      <w:r>
        <w:rPr>
          <w:rFonts w:eastAsia="仿宋" w:cs="Times New Roman" w:hint="eastAsia"/>
          <w:sz w:val="28"/>
          <w:szCs w:val="28"/>
        </w:rPr>
        <w:t>年。</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三、成片开发范围基本情况</w:t>
      </w:r>
    </w:p>
    <w:p w:rsidR="00A37F3C" w:rsidRDefault="000402D8">
      <w:pPr>
        <w:spacing w:after="0" w:line="560" w:lineRule="exact"/>
        <w:ind w:firstLine="562"/>
        <w:jc w:val="left"/>
        <w:outlineLvl w:val="2"/>
        <w:rPr>
          <w:rFonts w:eastAsia="仿宋" w:cs="Times New Roman"/>
          <w:b/>
          <w:sz w:val="28"/>
          <w:szCs w:val="28"/>
        </w:rPr>
      </w:pPr>
      <w:r>
        <w:rPr>
          <w:rFonts w:eastAsia="仿宋" w:cs="Times New Roman" w:hint="eastAsia"/>
          <w:b/>
          <w:sz w:val="28"/>
          <w:szCs w:val="28"/>
        </w:rPr>
        <w:t>（一）位置与范围</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按照《自然资源部关于印发</w:t>
      </w:r>
      <w:r>
        <w:rPr>
          <w:rFonts w:eastAsia="仿宋" w:cs="Times New Roman" w:hint="eastAsia"/>
          <w:sz w:val="28"/>
          <w:szCs w:val="28"/>
        </w:rPr>
        <w:t>&lt;</w:t>
      </w:r>
      <w:r>
        <w:rPr>
          <w:rFonts w:eastAsia="仿宋" w:cs="Times New Roman" w:hint="eastAsia"/>
          <w:sz w:val="28"/>
          <w:szCs w:val="28"/>
        </w:rPr>
        <w:t>土地征收成片开发标准（试行）</w:t>
      </w:r>
      <w:r>
        <w:rPr>
          <w:rFonts w:eastAsia="仿宋" w:cs="Times New Roman" w:hint="eastAsia"/>
          <w:sz w:val="28"/>
          <w:szCs w:val="28"/>
        </w:rPr>
        <w:t>&gt;</w:t>
      </w:r>
      <w:r>
        <w:rPr>
          <w:rFonts w:eastAsia="仿宋" w:cs="Times New Roman" w:hint="eastAsia"/>
          <w:sz w:val="28"/>
          <w:szCs w:val="28"/>
        </w:rPr>
        <w:t>的通知》（自然资规〔</w:t>
      </w:r>
      <w:r>
        <w:rPr>
          <w:rFonts w:eastAsia="仿宋" w:cs="Times New Roman" w:hint="eastAsia"/>
          <w:sz w:val="28"/>
          <w:szCs w:val="28"/>
        </w:rPr>
        <w:t>2020</w:t>
      </w:r>
      <w:r>
        <w:rPr>
          <w:rFonts w:eastAsia="仿宋" w:cs="Times New Roman" w:hint="eastAsia"/>
          <w:sz w:val="28"/>
          <w:szCs w:val="28"/>
        </w:rPr>
        <w:t>〕</w:t>
      </w:r>
      <w:r>
        <w:rPr>
          <w:rFonts w:eastAsia="仿宋" w:cs="Times New Roman" w:hint="eastAsia"/>
          <w:sz w:val="28"/>
          <w:szCs w:val="28"/>
        </w:rPr>
        <w:t>5</w:t>
      </w:r>
      <w:r>
        <w:rPr>
          <w:rFonts w:eastAsia="仿宋" w:cs="Times New Roman" w:hint="eastAsia"/>
          <w:sz w:val="28"/>
          <w:szCs w:val="28"/>
        </w:rPr>
        <w:t>号）以及《广东省自然资源厅关于规范土地征收成片开发工作的通知》（粤自然资发〔</w:t>
      </w:r>
      <w:r>
        <w:rPr>
          <w:rFonts w:eastAsia="仿宋" w:cs="Times New Roman" w:hint="eastAsia"/>
          <w:sz w:val="28"/>
          <w:szCs w:val="28"/>
        </w:rPr>
        <w:t>2021</w:t>
      </w:r>
      <w:r>
        <w:rPr>
          <w:rFonts w:eastAsia="仿宋" w:cs="Times New Roman" w:hint="eastAsia"/>
          <w:sz w:val="28"/>
          <w:szCs w:val="28"/>
        </w:rPr>
        <w:t>〕</w:t>
      </w:r>
      <w:r>
        <w:rPr>
          <w:rFonts w:eastAsia="仿宋" w:cs="Times New Roman" w:hint="eastAsia"/>
          <w:sz w:val="28"/>
          <w:szCs w:val="28"/>
        </w:rPr>
        <w:t xml:space="preserve">20 </w:t>
      </w:r>
      <w:r>
        <w:rPr>
          <w:rFonts w:eastAsia="仿宋" w:cs="Times New Roman" w:hint="eastAsia"/>
          <w:sz w:val="28"/>
          <w:szCs w:val="28"/>
        </w:rPr>
        <w:t>号）文件要求，《方案》结合潮阳区在编国土空间规划确定的城镇开发边界内的集中建设区、永久基本农田和生态保护红线划定成果</w:t>
      </w:r>
      <w:r>
        <w:rPr>
          <w:rFonts w:eastAsia="仿宋" w:cs="Times New Roman" w:hint="eastAsia"/>
          <w:sz w:val="28"/>
          <w:szCs w:val="28"/>
        </w:rPr>
        <w:t>以及控制性详细规划的控规管理单元，共划定</w:t>
      </w:r>
      <w:r>
        <w:rPr>
          <w:rFonts w:eastAsia="仿宋" w:cs="Times New Roman" w:hint="eastAsia"/>
          <w:sz w:val="28"/>
          <w:szCs w:val="28"/>
        </w:rPr>
        <w:t>14</w:t>
      </w:r>
      <w:r>
        <w:rPr>
          <w:rFonts w:eastAsia="仿宋" w:cs="Times New Roman" w:hint="eastAsia"/>
          <w:sz w:val="28"/>
          <w:szCs w:val="28"/>
        </w:rPr>
        <w:t>个成片开发范围，总面积为</w:t>
      </w:r>
      <w:r>
        <w:rPr>
          <w:rFonts w:eastAsia="仿宋" w:cs="Times New Roman" w:hint="eastAsia"/>
          <w:sz w:val="28"/>
          <w:szCs w:val="28"/>
        </w:rPr>
        <w:t>5509.7175</w:t>
      </w:r>
      <w:r>
        <w:rPr>
          <w:rFonts w:eastAsia="仿宋" w:cs="Times New Roman" w:hint="eastAsia"/>
          <w:sz w:val="28"/>
          <w:szCs w:val="28"/>
        </w:rPr>
        <w:t>亩，计划实施征</w:t>
      </w:r>
      <w:r>
        <w:rPr>
          <w:rFonts w:eastAsia="仿宋" w:cs="Times New Roman" w:hint="eastAsia"/>
          <w:sz w:val="28"/>
          <w:szCs w:val="28"/>
        </w:rPr>
        <w:lastRenderedPageBreak/>
        <w:t>收</w:t>
      </w:r>
      <w:r>
        <w:rPr>
          <w:rFonts w:eastAsia="仿宋" w:cs="Times New Roman" w:hint="eastAsia"/>
          <w:sz w:val="28"/>
          <w:szCs w:val="28"/>
        </w:rPr>
        <w:t>15</w:t>
      </w:r>
      <w:r>
        <w:rPr>
          <w:rFonts w:eastAsia="仿宋" w:cs="Times New Roman" w:hint="eastAsia"/>
          <w:sz w:val="28"/>
          <w:szCs w:val="28"/>
        </w:rPr>
        <w:t>个地块，面积共</w:t>
      </w:r>
      <w:r>
        <w:rPr>
          <w:rFonts w:eastAsia="仿宋" w:cs="Times New Roman" w:hint="eastAsia"/>
          <w:sz w:val="28"/>
          <w:szCs w:val="28"/>
        </w:rPr>
        <w:t>4015.6350</w:t>
      </w:r>
      <w:r>
        <w:rPr>
          <w:rFonts w:eastAsia="仿宋" w:cs="Times New Roman" w:hint="eastAsia"/>
          <w:sz w:val="28"/>
          <w:szCs w:val="28"/>
        </w:rPr>
        <w:t>亩，占成片开发范围面积的比例为</w:t>
      </w:r>
      <w:r>
        <w:rPr>
          <w:rFonts w:eastAsia="仿宋" w:cs="Times New Roman" w:hint="eastAsia"/>
          <w:sz w:val="28"/>
          <w:szCs w:val="28"/>
        </w:rPr>
        <w:t>72.88%</w:t>
      </w:r>
      <w:r>
        <w:rPr>
          <w:rFonts w:eastAsia="仿宋" w:cs="Times New Roman" w:hint="eastAsia"/>
          <w:sz w:val="28"/>
          <w:szCs w:val="28"/>
        </w:rPr>
        <w:t>。</w:t>
      </w:r>
    </w:p>
    <w:p w:rsidR="00A37F3C" w:rsidRDefault="000402D8">
      <w:pPr>
        <w:spacing w:after="0" w:line="560" w:lineRule="exact"/>
        <w:ind w:firstLine="562"/>
        <w:jc w:val="left"/>
        <w:outlineLvl w:val="2"/>
        <w:rPr>
          <w:rFonts w:eastAsia="仿宋" w:cs="Times New Roman"/>
          <w:b/>
          <w:sz w:val="28"/>
          <w:szCs w:val="28"/>
        </w:rPr>
      </w:pPr>
      <w:r>
        <w:rPr>
          <w:rFonts w:eastAsia="仿宋" w:cs="Times New Roman" w:hint="eastAsia"/>
          <w:b/>
          <w:sz w:val="28"/>
          <w:szCs w:val="28"/>
        </w:rPr>
        <w:t>（二）土地利用现状</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根据</w:t>
      </w:r>
      <w:r>
        <w:rPr>
          <w:rFonts w:eastAsia="仿宋" w:cs="Times New Roman" w:hint="eastAsia"/>
          <w:sz w:val="28"/>
          <w:szCs w:val="28"/>
        </w:rPr>
        <w:t>2018</w:t>
      </w:r>
      <w:r>
        <w:rPr>
          <w:rFonts w:eastAsia="仿宋" w:cs="Times New Roman" w:hint="eastAsia"/>
          <w:sz w:val="28"/>
          <w:szCs w:val="28"/>
        </w:rPr>
        <w:t>年土地变更调查数据分析，成片开发范围总面积为</w:t>
      </w:r>
      <w:r>
        <w:rPr>
          <w:rFonts w:eastAsia="仿宋" w:cs="Times New Roman" w:hint="eastAsia"/>
          <w:sz w:val="28"/>
          <w:szCs w:val="28"/>
        </w:rPr>
        <w:t>5509.7175</w:t>
      </w:r>
      <w:r>
        <w:rPr>
          <w:rFonts w:eastAsia="仿宋" w:cs="Times New Roman" w:hint="eastAsia"/>
          <w:sz w:val="28"/>
          <w:szCs w:val="28"/>
        </w:rPr>
        <w:t>亩，其中农用地面积为</w:t>
      </w:r>
      <w:r>
        <w:rPr>
          <w:rFonts w:eastAsia="仿宋" w:cs="Times New Roman" w:hint="eastAsia"/>
          <w:sz w:val="28"/>
          <w:szCs w:val="28"/>
        </w:rPr>
        <w:t>2711.2740</w:t>
      </w:r>
      <w:r>
        <w:rPr>
          <w:rFonts w:eastAsia="仿宋" w:cs="Times New Roman" w:hint="eastAsia"/>
          <w:sz w:val="28"/>
          <w:szCs w:val="28"/>
        </w:rPr>
        <w:t>亩，占成片开发范围总面积的</w:t>
      </w:r>
      <w:r>
        <w:rPr>
          <w:rFonts w:eastAsia="仿宋" w:cs="Times New Roman" w:hint="eastAsia"/>
          <w:sz w:val="28"/>
          <w:szCs w:val="28"/>
        </w:rPr>
        <w:t>49.21%</w:t>
      </w:r>
      <w:r>
        <w:rPr>
          <w:rFonts w:eastAsia="仿宋" w:cs="Times New Roman" w:hint="eastAsia"/>
          <w:sz w:val="28"/>
          <w:szCs w:val="28"/>
        </w:rPr>
        <w:t>；建设用地面积为</w:t>
      </w:r>
      <w:r>
        <w:rPr>
          <w:rFonts w:eastAsia="仿宋" w:cs="Times New Roman" w:hint="eastAsia"/>
          <w:sz w:val="28"/>
          <w:szCs w:val="28"/>
        </w:rPr>
        <w:t>1808.9070</w:t>
      </w:r>
      <w:r>
        <w:rPr>
          <w:rFonts w:eastAsia="仿宋" w:cs="Times New Roman" w:hint="eastAsia"/>
          <w:sz w:val="28"/>
          <w:szCs w:val="28"/>
        </w:rPr>
        <w:t>亩，占成片开发范围总面积的</w:t>
      </w:r>
      <w:r>
        <w:rPr>
          <w:rFonts w:eastAsia="仿宋" w:cs="Times New Roman" w:hint="eastAsia"/>
          <w:sz w:val="28"/>
          <w:szCs w:val="28"/>
        </w:rPr>
        <w:t>32.83%</w:t>
      </w:r>
      <w:r>
        <w:rPr>
          <w:rFonts w:eastAsia="仿宋" w:cs="Times New Roman" w:hint="eastAsia"/>
          <w:sz w:val="28"/>
          <w:szCs w:val="28"/>
        </w:rPr>
        <w:t>；未利用地面积为</w:t>
      </w:r>
      <w:r>
        <w:rPr>
          <w:rFonts w:eastAsia="仿宋" w:cs="Times New Roman" w:hint="eastAsia"/>
          <w:sz w:val="28"/>
          <w:szCs w:val="28"/>
        </w:rPr>
        <w:t>989.5365</w:t>
      </w:r>
      <w:r>
        <w:rPr>
          <w:rFonts w:eastAsia="仿宋" w:cs="Times New Roman" w:hint="eastAsia"/>
          <w:sz w:val="28"/>
          <w:szCs w:val="28"/>
        </w:rPr>
        <w:t>亩，占成片开发范围总面积的</w:t>
      </w:r>
      <w:r>
        <w:rPr>
          <w:rFonts w:eastAsia="仿宋" w:cs="Times New Roman" w:hint="eastAsia"/>
          <w:sz w:val="28"/>
          <w:szCs w:val="28"/>
        </w:rPr>
        <w:t>17.96%</w:t>
      </w:r>
      <w:r>
        <w:rPr>
          <w:rFonts w:eastAsia="仿宋" w:cs="Times New Roman"/>
          <w:sz w:val="28"/>
          <w:szCs w:val="28"/>
        </w:rPr>
        <w:t>。</w:t>
      </w:r>
    </w:p>
    <w:p w:rsidR="00A37F3C" w:rsidRDefault="000402D8">
      <w:pPr>
        <w:spacing w:after="0" w:line="560" w:lineRule="exact"/>
        <w:ind w:firstLine="562"/>
        <w:jc w:val="left"/>
        <w:outlineLvl w:val="2"/>
        <w:rPr>
          <w:rFonts w:eastAsia="仿宋" w:cs="Times New Roman"/>
          <w:b/>
          <w:sz w:val="28"/>
          <w:szCs w:val="28"/>
        </w:rPr>
      </w:pPr>
      <w:r>
        <w:rPr>
          <w:rFonts w:eastAsia="仿宋" w:cs="Times New Roman" w:hint="eastAsia"/>
          <w:b/>
          <w:sz w:val="28"/>
          <w:szCs w:val="28"/>
        </w:rPr>
        <w:t>（三）土地权属情况</w:t>
      </w:r>
    </w:p>
    <w:p w:rsidR="00A37F3C" w:rsidRDefault="000402D8">
      <w:pPr>
        <w:spacing w:after="0" w:line="560" w:lineRule="exact"/>
        <w:ind w:firstLine="560"/>
        <w:rPr>
          <w:rFonts w:eastAsia="仿宋" w:cs="Times New Roman"/>
          <w:sz w:val="28"/>
          <w:szCs w:val="28"/>
        </w:rPr>
      </w:pPr>
      <w:r>
        <w:rPr>
          <w:rFonts w:eastAsia="仿宋" w:cs="Times New Roman"/>
          <w:sz w:val="28"/>
          <w:szCs w:val="28"/>
        </w:rPr>
        <w:t>本次土地征收成片开发总用地面积</w:t>
      </w:r>
      <w:r>
        <w:rPr>
          <w:rFonts w:eastAsia="仿宋" w:cs="Times New Roman" w:hint="eastAsia"/>
          <w:sz w:val="28"/>
          <w:szCs w:val="28"/>
        </w:rPr>
        <w:t>为</w:t>
      </w:r>
      <w:r>
        <w:rPr>
          <w:rFonts w:eastAsia="仿宋" w:cs="Times New Roman" w:hint="eastAsia"/>
          <w:sz w:val="28"/>
          <w:szCs w:val="28"/>
        </w:rPr>
        <w:t>5509.7175</w:t>
      </w:r>
      <w:r>
        <w:rPr>
          <w:rFonts w:eastAsia="仿宋" w:cs="Times New Roman" w:hint="eastAsia"/>
          <w:sz w:val="28"/>
          <w:szCs w:val="28"/>
        </w:rPr>
        <w:t>亩</w:t>
      </w:r>
      <w:r>
        <w:rPr>
          <w:rFonts w:eastAsia="仿宋" w:cs="Times New Roman"/>
          <w:sz w:val="28"/>
          <w:szCs w:val="28"/>
        </w:rPr>
        <w:t>，</w:t>
      </w:r>
      <w:r>
        <w:rPr>
          <w:rFonts w:eastAsia="仿宋" w:cs="Times New Roman" w:hint="eastAsia"/>
          <w:sz w:val="28"/>
          <w:szCs w:val="28"/>
        </w:rPr>
        <w:t>开发范围</w:t>
      </w:r>
      <w:r>
        <w:rPr>
          <w:rFonts w:eastAsia="仿宋" w:cs="Times New Roman"/>
          <w:sz w:val="28"/>
          <w:szCs w:val="28"/>
        </w:rPr>
        <w:t>涉及全区</w:t>
      </w:r>
      <w:r>
        <w:rPr>
          <w:rFonts w:eastAsia="仿宋" w:cs="Times New Roman" w:hint="eastAsia"/>
          <w:sz w:val="28"/>
          <w:szCs w:val="28"/>
        </w:rPr>
        <w:t>2</w:t>
      </w:r>
      <w:r>
        <w:rPr>
          <w:rFonts w:eastAsia="仿宋" w:cs="Times New Roman"/>
          <w:sz w:val="28"/>
          <w:szCs w:val="28"/>
        </w:rPr>
        <w:t>个街道、</w:t>
      </w:r>
      <w:r>
        <w:rPr>
          <w:rFonts w:eastAsia="仿宋" w:cs="Times New Roman" w:hint="eastAsia"/>
          <w:sz w:val="28"/>
          <w:szCs w:val="28"/>
        </w:rPr>
        <w:t>4</w:t>
      </w:r>
      <w:r>
        <w:rPr>
          <w:rFonts w:eastAsia="仿宋" w:cs="Times New Roman" w:hint="eastAsia"/>
          <w:sz w:val="28"/>
          <w:szCs w:val="28"/>
        </w:rPr>
        <w:t>个镇，</w:t>
      </w:r>
      <w:r>
        <w:rPr>
          <w:rFonts w:eastAsia="仿宋" w:cs="Times New Roman" w:hint="eastAsia"/>
          <w:sz w:val="28"/>
          <w:szCs w:val="28"/>
        </w:rPr>
        <w:t>23</w:t>
      </w:r>
      <w:r>
        <w:rPr>
          <w:rFonts w:eastAsia="仿宋" w:cs="Times New Roman"/>
          <w:sz w:val="28"/>
          <w:szCs w:val="28"/>
        </w:rPr>
        <w:t>个经济联合社</w:t>
      </w:r>
      <w:r>
        <w:rPr>
          <w:rFonts w:eastAsia="仿宋" w:cs="Times New Roman" w:hint="eastAsia"/>
          <w:sz w:val="28"/>
          <w:szCs w:val="28"/>
        </w:rPr>
        <w:t>属下的集体土地。</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四、必要性</w:t>
      </w:r>
    </w:p>
    <w:p w:rsidR="00A37F3C" w:rsidRDefault="000402D8">
      <w:pPr>
        <w:widowControl/>
        <w:numPr>
          <w:ilvl w:val="255"/>
          <w:numId w:val="0"/>
        </w:numPr>
        <w:spacing w:after="0" w:line="560" w:lineRule="exact"/>
        <w:ind w:firstLineChars="200" w:firstLine="562"/>
        <w:jc w:val="left"/>
        <w:outlineLvl w:val="2"/>
        <w:rPr>
          <w:rFonts w:eastAsia="仿宋" w:cs="Times New Roman"/>
          <w:b/>
          <w:sz w:val="28"/>
          <w:szCs w:val="28"/>
        </w:rPr>
      </w:pPr>
      <w:r>
        <w:rPr>
          <w:rFonts w:eastAsia="仿宋" w:cs="Times New Roman" w:hint="eastAsia"/>
          <w:b/>
          <w:sz w:val="28"/>
          <w:szCs w:val="28"/>
        </w:rPr>
        <w:t>（一）坚持落实“工业立市、产业强市”</w:t>
      </w:r>
    </w:p>
    <w:p w:rsidR="00A37F3C" w:rsidRDefault="000402D8">
      <w:pPr>
        <w:spacing w:after="0" w:line="560" w:lineRule="exact"/>
        <w:ind w:firstLine="560"/>
        <w:rPr>
          <w:rFonts w:eastAsia="仿宋" w:cs="Times New Roman"/>
          <w:sz w:val="28"/>
          <w:szCs w:val="28"/>
        </w:rPr>
      </w:pPr>
      <w:r>
        <w:rPr>
          <w:rFonts w:eastAsia="仿宋" w:cs="Times New Roman"/>
          <w:sz w:val="28"/>
          <w:szCs w:val="28"/>
        </w:rPr>
        <w:t>习近平总书记在</w:t>
      </w:r>
      <w:r>
        <w:rPr>
          <w:rFonts w:eastAsia="仿宋" w:cs="Times New Roman" w:hint="eastAsia"/>
          <w:sz w:val="28"/>
          <w:szCs w:val="28"/>
        </w:rPr>
        <w:t>视察汕头市</w:t>
      </w:r>
      <w:r>
        <w:rPr>
          <w:rFonts w:eastAsia="仿宋" w:cs="Times New Roman"/>
          <w:sz w:val="28"/>
          <w:szCs w:val="28"/>
        </w:rPr>
        <w:t>时要求</w:t>
      </w:r>
      <w:r>
        <w:rPr>
          <w:rFonts w:eastAsia="仿宋" w:cs="Times New Roman" w:hint="eastAsia"/>
          <w:sz w:val="28"/>
          <w:szCs w:val="28"/>
        </w:rPr>
        <w:t>汕头市</w:t>
      </w:r>
      <w:r>
        <w:rPr>
          <w:rFonts w:eastAsia="仿宋" w:cs="Times New Roman"/>
          <w:sz w:val="28"/>
          <w:szCs w:val="28"/>
        </w:rPr>
        <w:t>充分利用建设粤港澳大湾区、共建</w:t>
      </w:r>
      <w:r>
        <w:rPr>
          <w:rFonts w:eastAsia="仿宋" w:cs="Times New Roman" w:hint="eastAsia"/>
          <w:sz w:val="28"/>
          <w:szCs w:val="28"/>
        </w:rPr>
        <w:t>“</w:t>
      </w:r>
      <w:r>
        <w:rPr>
          <w:rFonts w:eastAsia="仿宋" w:cs="Times New Roman"/>
          <w:sz w:val="28"/>
          <w:szCs w:val="28"/>
        </w:rPr>
        <w:t>一带一路</w:t>
      </w:r>
      <w:r>
        <w:rPr>
          <w:rFonts w:eastAsia="仿宋" w:cs="Times New Roman" w:hint="eastAsia"/>
          <w:sz w:val="28"/>
          <w:szCs w:val="28"/>
        </w:rPr>
        <w:t>”</w:t>
      </w:r>
      <w:r>
        <w:rPr>
          <w:rFonts w:eastAsia="仿宋" w:cs="Times New Roman"/>
          <w:sz w:val="28"/>
          <w:szCs w:val="28"/>
        </w:rPr>
        <w:t>等重要机遇</w:t>
      </w:r>
      <w:r>
        <w:rPr>
          <w:rFonts w:eastAsia="仿宋" w:cs="Times New Roman" w:hint="eastAsia"/>
          <w:sz w:val="28"/>
          <w:szCs w:val="28"/>
        </w:rPr>
        <w:t>，</w:t>
      </w:r>
      <w:r>
        <w:rPr>
          <w:rFonts w:eastAsia="仿宋" w:cs="Times New Roman"/>
          <w:sz w:val="28"/>
          <w:szCs w:val="28"/>
        </w:rPr>
        <w:t>在新时代经济特区建设中迎头赶上。省委、省政府赋予汕头</w:t>
      </w:r>
      <w:r>
        <w:rPr>
          <w:rFonts w:eastAsia="仿宋" w:cs="Times New Roman" w:hint="eastAsia"/>
          <w:sz w:val="28"/>
          <w:szCs w:val="28"/>
        </w:rPr>
        <w:t>市</w:t>
      </w:r>
      <w:r>
        <w:rPr>
          <w:rFonts w:eastAsia="仿宋" w:cs="Times New Roman"/>
          <w:sz w:val="28"/>
          <w:szCs w:val="28"/>
        </w:rPr>
        <w:t>部分省级管理权限，明确省域副中心城市的功能定位，部署推动深圳</w:t>
      </w:r>
      <w:r>
        <w:rPr>
          <w:rFonts w:eastAsia="仿宋" w:cs="Times New Roman" w:hint="eastAsia"/>
          <w:sz w:val="28"/>
          <w:szCs w:val="28"/>
        </w:rPr>
        <w:t>市</w:t>
      </w:r>
      <w:r>
        <w:rPr>
          <w:rFonts w:eastAsia="仿宋" w:cs="Times New Roman"/>
          <w:sz w:val="28"/>
          <w:szCs w:val="28"/>
        </w:rPr>
        <w:t>与汕头</w:t>
      </w:r>
      <w:r>
        <w:rPr>
          <w:rFonts w:eastAsia="仿宋" w:cs="Times New Roman" w:hint="eastAsia"/>
          <w:sz w:val="28"/>
          <w:szCs w:val="28"/>
        </w:rPr>
        <w:t>市</w:t>
      </w:r>
      <w:r>
        <w:rPr>
          <w:rFonts w:eastAsia="仿宋" w:cs="Times New Roman"/>
          <w:sz w:val="28"/>
          <w:szCs w:val="28"/>
        </w:rPr>
        <w:t>建立</w:t>
      </w:r>
      <w:r>
        <w:rPr>
          <w:rFonts w:eastAsia="仿宋" w:cs="Times New Roman" w:hint="eastAsia"/>
          <w:sz w:val="28"/>
          <w:szCs w:val="28"/>
        </w:rPr>
        <w:t>“</w:t>
      </w:r>
      <w:r>
        <w:rPr>
          <w:rFonts w:eastAsia="仿宋" w:cs="Times New Roman"/>
          <w:sz w:val="28"/>
          <w:szCs w:val="28"/>
        </w:rPr>
        <w:t>核</w:t>
      </w:r>
      <w:r>
        <w:rPr>
          <w:rFonts w:eastAsia="仿宋" w:cs="Times New Roman"/>
          <w:sz w:val="28"/>
          <w:szCs w:val="28"/>
        </w:rPr>
        <w:t>+</w:t>
      </w:r>
      <w:r>
        <w:rPr>
          <w:rFonts w:eastAsia="仿宋" w:cs="Times New Roman"/>
          <w:sz w:val="28"/>
          <w:szCs w:val="28"/>
        </w:rPr>
        <w:t>副中心</w:t>
      </w:r>
      <w:r>
        <w:rPr>
          <w:rFonts w:eastAsia="仿宋" w:cs="Times New Roman" w:hint="eastAsia"/>
          <w:sz w:val="28"/>
          <w:szCs w:val="28"/>
        </w:rPr>
        <w:t>”</w:t>
      </w:r>
      <w:r>
        <w:rPr>
          <w:rFonts w:eastAsia="仿宋" w:cs="Times New Roman"/>
          <w:sz w:val="28"/>
          <w:szCs w:val="28"/>
        </w:rPr>
        <w:t>深度协作机制。</w:t>
      </w:r>
      <w:r>
        <w:rPr>
          <w:rFonts w:eastAsia="仿宋" w:cs="Times New Roman" w:hint="eastAsia"/>
          <w:sz w:val="28"/>
          <w:szCs w:val="28"/>
        </w:rPr>
        <w:t>面临此重大机遇，汕头市委市政府提出“工业立市、产业强市”战略部署。为响应落</w:t>
      </w:r>
      <w:r>
        <w:rPr>
          <w:rFonts w:eastAsia="仿宋" w:cs="Times New Roman" w:hint="eastAsia"/>
          <w:sz w:val="28"/>
          <w:szCs w:val="28"/>
        </w:rPr>
        <w:t>实市委市政府的战略部署，潮阳区坚持走“工业立市、产业强市”发展之路，通过</w:t>
      </w:r>
      <w:r>
        <w:rPr>
          <w:rFonts w:eastAsia="仿宋" w:cs="Times New Roman"/>
          <w:sz w:val="28"/>
          <w:szCs w:val="28"/>
        </w:rPr>
        <w:t>强化工业用地保障，科学划定工业用地红线，</w:t>
      </w:r>
      <w:r>
        <w:rPr>
          <w:rFonts w:eastAsia="仿宋" w:cs="Times New Roman" w:hint="eastAsia"/>
          <w:sz w:val="28"/>
          <w:szCs w:val="28"/>
        </w:rPr>
        <w:t>并</w:t>
      </w:r>
      <w:r>
        <w:rPr>
          <w:rFonts w:eastAsia="仿宋" w:cs="Times New Roman"/>
          <w:sz w:val="28"/>
          <w:szCs w:val="28"/>
        </w:rPr>
        <w:t>确保工业用地规模，为</w:t>
      </w:r>
      <w:r>
        <w:rPr>
          <w:rFonts w:eastAsia="仿宋" w:cs="Times New Roman" w:hint="eastAsia"/>
          <w:sz w:val="28"/>
          <w:szCs w:val="28"/>
        </w:rPr>
        <w:t>工业发展</w:t>
      </w:r>
      <w:r>
        <w:rPr>
          <w:rFonts w:eastAsia="仿宋" w:cs="Times New Roman"/>
          <w:sz w:val="28"/>
          <w:szCs w:val="28"/>
        </w:rPr>
        <w:t>提供充足的土地空间</w:t>
      </w:r>
      <w:r>
        <w:rPr>
          <w:rFonts w:eastAsia="仿宋" w:cs="Times New Roman" w:hint="eastAsia"/>
          <w:sz w:val="28"/>
          <w:szCs w:val="28"/>
        </w:rPr>
        <w:t>，</w:t>
      </w:r>
      <w:r>
        <w:rPr>
          <w:rFonts w:eastAsia="仿宋" w:cs="Times New Roman"/>
          <w:sz w:val="28"/>
          <w:szCs w:val="28"/>
        </w:rPr>
        <w:t>加快产业转型升级，推动</w:t>
      </w:r>
      <w:r>
        <w:rPr>
          <w:rFonts w:eastAsia="仿宋" w:cs="Times New Roman" w:hint="eastAsia"/>
          <w:sz w:val="28"/>
          <w:szCs w:val="28"/>
        </w:rPr>
        <w:t>潮阳区</w:t>
      </w:r>
      <w:r>
        <w:rPr>
          <w:rFonts w:eastAsia="仿宋" w:cs="Times New Roman"/>
          <w:sz w:val="28"/>
          <w:szCs w:val="28"/>
        </w:rPr>
        <w:t>经济高质量发展。</w:t>
      </w:r>
    </w:p>
    <w:p w:rsidR="00A37F3C" w:rsidRDefault="000402D8">
      <w:pPr>
        <w:widowControl/>
        <w:numPr>
          <w:ilvl w:val="255"/>
          <w:numId w:val="0"/>
        </w:numPr>
        <w:spacing w:after="0" w:line="560" w:lineRule="exact"/>
        <w:ind w:firstLineChars="200" w:firstLine="562"/>
        <w:jc w:val="left"/>
        <w:outlineLvl w:val="2"/>
        <w:rPr>
          <w:rFonts w:eastAsia="仿宋" w:cs="Times New Roman"/>
          <w:b/>
          <w:sz w:val="28"/>
          <w:szCs w:val="28"/>
        </w:rPr>
      </w:pPr>
      <w:bookmarkStart w:id="0" w:name="_Toc224"/>
      <w:bookmarkStart w:id="1" w:name="_Toc24906"/>
      <w:r>
        <w:rPr>
          <w:rFonts w:eastAsia="仿宋" w:cs="Times New Roman" w:hint="eastAsia"/>
          <w:b/>
          <w:sz w:val="28"/>
          <w:szCs w:val="28"/>
        </w:rPr>
        <w:t>（二）破解土地瓶颈，助推</w:t>
      </w:r>
      <w:bookmarkEnd w:id="0"/>
      <w:bookmarkEnd w:id="1"/>
      <w:r>
        <w:rPr>
          <w:rFonts w:eastAsia="仿宋" w:cs="Times New Roman" w:hint="eastAsia"/>
          <w:b/>
          <w:sz w:val="28"/>
          <w:szCs w:val="28"/>
        </w:rPr>
        <w:t>重点项目落地</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因受限于存量用地权属复杂、国有用地与集体用地仍存在“二元化”导致土地价值差异大等问题，目前潮阳区存量用地与周边新增建设用地联动性不足，对城市片区功能提升战略引导不足，国有土地和集体土地之间无法成片整合统一供地。《汕头市潮阳区国民经济和社会发展第十四个五</w:t>
      </w:r>
      <w:r>
        <w:rPr>
          <w:rFonts w:eastAsia="仿宋" w:cs="Times New Roman" w:hint="eastAsia"/>
          <w:sz w:val="28"/>
          <w:szCs w:val="28"/>
        </w:rPr>
        <w:lastRenderedPageBreak/>
        <w:t>年规划和二零三五年远景目标纲要》提出，要落实主体功能区战略，进一步明确镇（街道）的主体功能定位，棉北街道、文光街道、城南街道、金浦街道拓展空间有限，需要以优化提升现有空间品质和层次为主，加快城市更新，以进一步推动潮阳区城市化发展；和平镇、谷饶镇、贵屿镇、铜盂镇</w:t>
      </w:r>
      <w:r>
        <w:rPr>
          <w:rFonts w:eastAsia="仿宋" w:cs="Times New Roman" w:hint="eastAsia"/>
          <w:sz w:val="28"/>
          <w:szCs w:val="28"/>
        </w:rPr>
        <w:t>、海门镇资源配置和区位条件较好，要不断提高经济开发密度和产出效率。因此，需紧密结合上位规划，加强片区统筹、利益共享，探索增存统筹、成片开发；破解土地瓶颈，加强城市功能调整和资源整合，拓展城市发展空间，助推重点项目落地和产业发展。</w:t>
      </w:r>
    </w:p>
    <w:p w:rsidR="00A37F3C" w:rsidRDefault="000402D8">
      <w:pPr>
        <w:widowControl/>
        <w:spacing w:after="0" w:line="560" w:lineRule="exact"/>
        <w:ind w:firstLine="562"/>
        <w:jc w:val="left"/>
        <w:outlineLvl w:val="2"/>
        <w:rPr>
          <w:rFonts w:eastAsia="仿宋" w:cs="Times New Roman"/>
          <w:b/>
          <w:sz w:val="28"/>
          <w:szCs w:val="28"/>
        </w:rPr>
      </w:pPr>
      <w:bookmarkStart w:id="2" w:name="_Toc31430"/>
      <w:bookmarkStart w:id="3" w:name="_Toc8897"/>
      <w:r>
        <w:rPr>
          <w:rFonts w:eastAsia="仿宋" w:cs="Times New Roman" w:hint="eastAsia"/>
          <w:b/>
          <w:sz w:val="28"/>
          <w:szCs w:val="28"/>
        </w:rPr>
        <w:t>（三）</w:t>
      </w:r>
      <w:bookmarkEnd w:id="2"/>
      <w:bookmarkEnd w:id="3"/>
      <w:r>
        <w:rPr>
          <w:rFonts w:eastAsia="仿宋" w:cs="Times New Roman" w:hint="eastAsia"/>
          <w:b/>
          <w:sz w:val="28"/>
          <w:szCs w:val="28"/>
        </w:rPr>
        <w:t>发挥“中心”辐射效应，推动“五区”协同发展</w:t>
      </w:r>
    </w:p>
    <w:p w:rsidR="00A37F3C" w:rsidRDefault="000402D8">
      <w:pPr>
        <w:widowControl/>
        <w:spacing w:after="0" w:line="240" w:lineRule="auto"/>
        <w:ind w:firstLine="560"/>
        <w:jc w:val="left"/>
        <w:rPr>
          <w:rFonts w:eastAsia="仿宋" w:cs="Times New Roman"/>
          <w:sz w:val="28"/>
          <w:szCs w:val="28"/>
        </w:rPr>
      </w:pPr>
      <w:r>
        <w:rPr>
          <w:rFonts w:eastAsia="仿宋" w:cs="Times New Roman" w:hint="eastAsia"/>
          <w:sz w:val="28"/>
          <w:szCs w:val="28"/>
        </w:rPr>
        <w:t>《汕头市潮阳区国民经济和社会发展第十四个五年规划和二零三五年远景目标纲要》提出，要完善“一主两副、三轴五区、内优外联”总体格局，充分发挥“心</w:t>
      </w:r>
      <w:r>
        <w:rPr>
          <w:rFonts w:eastAsia="仿宋" w:cs="Times New Roman" w:hint="eastAsia"/>
          <w:sz w:val="28"/>
          <w:szCs w:val="28"/>
        </w:rPr>
        <w:t>+</w:t>
      </w:r>
      <w:r>
        <w:rPr>
          <w:rFonts w:eastAsia="仿宋" w:cs="Times New Roman" w:hint="eastAsia"/>
          <w:sz w:val="28"/>
          <w:szCs w:val="28"/>
        </w:rPr>
        <w:t>轴</w:t>
      </w:r>
      <w:r>
        <w:rPr>
          <w:rFonts w:eastAsia="仿宋" w:cs="Times New Roman" w:hint="eastAsia"/>
          <w:sz w:val="28"/>
          <w:szCs w:val="28"/>
        </w:rPr>
        <w:t>+</w:t>
      </w:r>
      <w:r>
        <w:rPr>
          <w:rFonts w:eastAsia="仿宋" w:cs="Times New Roman" w:hint="eastAsia"/>
          <w:sz w:val="28"/>
          <w:szCs w:val="28"/>
        </w:rPr>
        <w:t>区”功能互补、叠加带动的作用。加快由文光、棉北、城南、金浦四个街道和海门镇、和平镇构成</w:t>
      </w:r>
      <w:r>
        <w:rPr>
          <w:rFonts w:eastAsia="仿宋" w:cs="Times New Roman" w:hint="eastAsia"/>
          <w:sz w:val="28"/>
          <w:szCs w:val="28"/>
        </w:rPr>
        <w:t>的主中心城区、谷饶镇、关埠镇组成的副中心城区“两心”结构的提质步伐，做大做强主中心城区，扶持培育副中心城区；重点打造主城区、练江和榕江三条产业经济发展轴，推动城乡融合发展，重点加快基础设施建设水平，提升城乡联通水平，完善基础设施建设，加快旅游资源、农业资源开发，打造多元融合发展区，推动城区现代服务引领区、海门港城融合拓展区、谷饶优势产业创新区、榕江现代农业示范区和练江新兴工业集聚区“五区”协同发展，推动建成高质量发展、高水平文明的汕头西翼现代化新城区。</w:t>
      </w:r>
    </w:p>
    <w:p w:rsidR="00A37F3C" w:rsidRDefault="000402D8">
      <w:pPr>
        <w:widowControl/>
        <w:numPr>
          <w:ilvl w:val="255"/>
          <w:numId w:val="0"/>
        </w:numPr>
        <w:spacing w:after="0" w:line="560" w:lineRule="exact"/>
        <w:ind w:firstLineChars="139" w:firstLine="391"/>
        <w:outlineLvl w:val="2"/>
        <w:rPr>
          <w:rFonts w:eastAsia="仿宋" w:cs="Times New Roman"/>
          <w:b/>
          <w:sz w:val="28"/>
          <w:szCs w:val="28"/>
        </w:rPr>
      </w:pPr>
      <w:r>
        <w:rPr>
          <w:rFonts w:eastAsia="仿宋" w:cs="Times New Roman" w:hint="eastAsia"/>
          <w:b/>
          <w:sz w:val="28"/>
          <w:szCs w:val="28"/>
        </w:rPr>
        <w:t>（四）带动就业，提升居民幸福指数</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本成片开发方案重点打</w:t>
      </w:r>
      <w:r>
        <w:rPr>
          <w:rFonts w:eastAsia="仿宋" w:cs="Times New Roman" w:hint="eastAsia"/>
          <w:sz w:val="28"/>
          <w:szCs w:val="28"/>
        </w:rPr>
        <w:t>造城区现代服务引领区、海门港城融合拓展区、谷饶优势产业创新区和练江新兴工业集聚区，通过城市开发建设，吸引投资，带动就业。以新城的建设驱动潮阳房地产业、建筑产业、装修业及其</w:t>
      </w:r>
      <w:r>
        <w:rPr>
          <w:rFonts w:eastAsia="仿宋" w:cs="Times New Roman" w:hint="eastAsia"/>
          <w:sz w:val="28"/>
          <w:szCs w:val="28"/>
        </w:rPr>
        <w:lastRenderedPageBreak/>
        <w:t>配套产业的发展和壮大，大力发展现代商贸服务业；重点推进产业园区发展，优化产业结构和空间布局，结合政策红利，吸引企业入驻发展，带活地方人才市场，创造更多的就业机会，缓解本地居民就业压力，提高当地居民收入水平。</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《方案》划定后计划配套</w:t>
      </w:r>
      <w:r>
        <w:rPr>
          <w:rFonts w:eastAsia="仿宋" w:cs="Times New Roman" w:hint="eastAsia"/>
          <w:sz w:val="28"/>
          <w:szCs w:val="28"/>
        </w:rPr>
        <w:t>40%</w:t>
      </w:r>
      <w:r>
        <w:rPr>
          <w:rFonts w:eastAsia="仿宋" w:cs="Times New Roman" w:hint="eastAsia"/>
          <w:sz w:val="28"/>
          <w:szCs w:val="28"/>
        </w:rPr>
        <w:t>以上比例的公益性用地，将推动片区内公共服务设施用地和基础设施用地的建设，城乡空间结构和功能布局更趋优化，城</w:t>
      </w:r>
      <w:r>
        <w:rPr>
          <w:rFonts w:eastAsia="仿宋" w:cs="Times New Roman" w:hint="eastAsia"/>
          <w:sz w:val="28"/>
          <w:szCs w:val="28"/>
        </w:rPr>
        <w:t>镇基础设施日益完善，外联内通交通网络不断完善，将改善区域的交通网络，建成高品质生活的幸福潮阳，大大提升生活便利与居民满意。</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五、主要用途及功能布局</w:t>
      </w:r>
    </w:p>
    <w:p w:rsidR="00A37F3C" w:rsidRDefault="000402D8">
      <w:pPr>
        <w:spacing w:after="0" w:line="560" w:lineRule="exact"/>
        <w:ind w:firstLine="560"/>
        <w:jc w:val="left"/>
        <w:rPr>
          <w:rFonts w:eastAsia="仿宋" w:cs="Times New Roman"/>
          <w:sz w:val="28"/>
          <w:szCs w:val="28"/>
          <w:highlight w:val="yellow"/>
        </w:rPr>
      </w:pPr>
      <w:r>
        <w:rPr>
          <w:rFonts w:eastAsia="仿宋" w:cs="Times New Roman"/>
          <w:sz w:val="28"/>
          <w:szCs w:val="28"/>
        </w:rPr>
        <w:t>本次成片开发范围内规划用地的用途主要为一类工业用地、一类物流仓储用地、教育科研用地、区域交通设施用地、城市道路用地、商业用地、居住用地、公园绿地以及公用设施用地等，通过成片开发模式实施后，逐步实现片区内产业引进建设、制造升级、城市品质提升以及公共服务配套集一体的综合功能，有利于做大做强潮阳区主中心城区，打造多元融合发展区，发挥潮阳区</w:t>
      </w:r>
      <w:r>
        <w:rPr>
          <w:rFonts w:eastAsia="仿宋" w:cs="Times New Roman"/>
          <w:sz w:val="28"/>
          <w:szCs w:val="28"/>
        </w:rPr>
        <w:t>“</w:t>
      </w:r>
      <w:r>
        <w:rPr>
          <w:rFonts w:eastAsia="仿宋" w:cs="Times New Roman"/>
          <w:sz w:val="28"/>
          <w:szCs w:val="28"/>
        </w:rPr>
        <w:t>五区</w:t>
      </w:r>
      <w:r>
        <w:rPr>
          <w:rFonts w:eastAsia="仿宋" w:cs="Times New Roman"/>
          <w:sz w:val="28"/>
          <w:szCs w:val="28"/>
        </w:rPr>
        <w:t>”</w:t>
      </w:r>
      <w:r>
        <w:rPr>
          <w:rFonts w:eastAsia="仿宋" w:cs="Times New Roman"/>
          <w:sz w:val="28"/>
          <w:szCs w:val="28"/>
        </w:rPr>
        <w:t>协同发展作用，推动建成高质量发展、高水平文明的汕头西翼现代化新城区。</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六、公益性用地配比情况</w:t>
      </w:r>
    </w:p>
    <w:p w:rsidR="00A37F3C" w:rsidRDefault="000402D8">
      <w:pPr>
        <w:spacing w:after="0" w:line="560" w:lineRule="exact"/>
        <w:ind w:firstLineChars="0" w:firstLine="560"/>
        <w:rPr>
          <w:rFonts w:eastAsia="仿宋" w:cs="Times New Roman"/>
          <w:sz w:val="28"/>
          <w:szCs w:val="28"/>
        </w:rPr>
      </w:pPr>
      <w:r>
        <w:rPr>
          <w:rFonts w:eastAsia="仿宋" w:cs="Times New Roman" w:hint="eastAsia"/>
          <w:sz w:val="28"/>
          <w:szCs w:val="28"/>
        </w:rPr>
        <w:t>根据潮阳区控制性详细规划全覆盖成果以及各片区控规，《方案》成片开发范围内涉及</w:t>
      </w:r>
      <w:r>
        <w:rPr>
          <w:rFonts w:eastAsia="仿宋" w:cs="Times New Roman" w:hint="eastAsia"/>
          <w:sz w:val="28"/>
          <w:szCs w:val="28"/>
        </w:rPr>
        <w:t>的基础设施、公共服务以及其他公益性用地面积共</w:t>
      </w:r>
      <w:r>
        <w:rPr>
          <w:rFonts w:eastAsia="仿宋" w:cs="Times New Roman" w:hint="eastAsia"/>
          <w:sz w:val="28"/>
          <w:szCs w:val="28"/>
        </w:rPr>
        <w:t>2223.3015</w:t>
      </w:r>
      <w:r>
        <w:rPr>
          <w:rFonts w:eastAsia="仿宋" w:cs="Times New Roman" w:hint="eastAsia"/>
          <w:sz w:val="28"/>
          <w:szCs w:val="28"/>
        </w:rPr>
        <w:t>亩，占总用地面积的</w:t>
      </w:r>
      <w:r>
        <w:rPr>
          <w:rFonts w:eastAsia="仿宋" w:cs="Times New Roman" w:hint="eastAsia"/>
          <w:sz w:val="28"/>
          <w:szCs w:val="28"/>
        </w:rPr>
        <w:t>40.35%</w:t>
      </w:r>
      <w:r>
        <w:rPr>
          <w:rFonts w:eastAsia="仿宋" w:cs="Times New Roman" w:hint="eastAsia"/>
          <w:sz w:val="28"/>
          <w:szCs w:val="28"/>
        </w:rPr>
        <w:t>，其中包括了教育科研用地、公园绿地、防护绿地、广场用地、公路用地、城市道路用地、铁路用地、公用设施用地、供应设施用地、供水用地、供电用地、排水用地和消防用地。</w:t>
      </w:r>
      <w:r>
        <w:rPr>
          <w:rFonts w:eastAsia="仿宋" w:cs="Times New Roman"/>
          <w:sz w:val="28"/>
          <w:szCs w:val="28"/>
        </w:rPr>
        <w:t>该公益性用地比例符合</w:t>
      </w:r>
      <w:r>
        <w:rPr>
          <w:rFonts w:eastAsia="仿宋" w:cs="Times New Roman" w:hint="eastAsia"/>
          <w:sz w:val="28"/>
          <w:szCs w:val="28"/>
        </w:rPr>
        <w:t>自然资源</w:t>
      </w:r>
      <w:r>
        <w:rPr>
          <w:rFonts w:eastAsia="仿宋" w:cs="Times New Roman"/>
          <w:sz w:val="28"/>
          <w:szCs w:val="28"/>
        </w:rPr>
        <w:t>部印发的标准以及广东省</w:t>
      </w:r>
      <w:r>
        <w:rPr>
          <w:rFonts w:eastAsia="仿宋" w:cs="Times New Roman" w:hint="eastAsia"/>
          <w:sz w:val="28"/>
          <w:szCs w:val="28"/>
        </w:rPr>
        <w:t>相关</w:t>
      </w:r>
      <w:r>
        <w:rPr>
          <w:rFonts w:eastAsia="仿宋" w:cs="Times New Roman"/>
          <w:sz w:val="28"/>
          <w:szCs w:val="28"/>
        </w:rPr>
        <w:t>政策文件的规定。</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lastRenderedPageBreak/>
        <w:t>七、拟征收地块及年度实施计划</w:t>
      </w:r>
    </w:p>
    <w:p w:rsidR="00A37F3C" w:rsidRDefault="000402D8">
      <w:pPr>
        <w:spacing w:after="0"/>
        <w:ind w:firstLine="560"/>
        <w:rPr>
          <w:rFonts w:eastAsia="仿宋" w:cs="Times New Roman"/>
          <w:sz w:val="28"/>
          <w:szCs w:val="28"/>
        </w:rPr>
      </w:pPr>
      <w:r>
        <w:rPr>
          <w:rFonts w:eastAsia="仿宋" w:cs="Times New Roman" w:hint="eastAsia"/>
          <w:sz w:val="28"/>
          <w:szCs w:val="28"/>
        </w:rPr>
        <w:t>《方案》成片开发范围内</w:t>
      </w:r>
      <w:r>
        <w:rPr>
          <w:rFonts w:eastAsia="仿宋" w:cs="Times New Roman"/>
          <w:sz w:val="28"/>
          <w:szCs w:val="28"/>
        </w:rPr>
        <w:t>拟</w:t>
      </w:r>
      <w:r>
        <w:rPr>
          <w:rFonts w:eastAsia="仿宋" w:cs="Times New Roman" w:hint="eastAsia"/>
          <w:sz w:val="28"/>
          <w:szCs w:val="28"/>
        </w:rPr>
        <w:t>征收</w:t>
      </w:r>
      <w:r>
        <w:rPr>
          <w:rFonts w:eastAsia="仿宋" w:cs="Times New Roman" w:hint="eastAsia"/>
          <w:sz w:val="28"/>
          <w:szCs w:val="28"/>
        </w:rPr>
        <w:t>15</w:t>
      </w:r>
      <w:r>
        <w:rPr>
          <w:rFonts w:eastAsia="仿宋" w:cs="Times New Roman" w:hint="eastAsia"/>
          <w:sz w:val="28"/>
          <w:szCs w:val="28"/>
        </w:rPr>
        <w:t>个地块</w:t>
      </w:r>
      <w:r>
        <w:rPr>
          <w:rFonts w:eastAsia="仿宋" w:cs="Times New Roman"/>
          <w:sz w:val="28"/>
          <w:szCs w:val="28"/>
        </w:rPr>
        <w:t>，</w:t>
      </w:r>
      <w:r>
        <w:rPr>
          <w:rFonts w:eastAsia="仿宋" w:cs="Times New Roman" w:hint="eastAsia"/>
          <w:sz w:val="28"/>
          <w:szCs w:val="28"/>
        </w:rPr>
        <w:t>计划实施时间为</w:t>
      </w:r>
      <w:r>
        <w:rPr>
          <w:rFonts w:eastAsia="仿宋" w:cs="Times New Roman"/>
          <w:sz w:val="28"/>
          <w:szCs w:val="28"/>
        </w:rPr>
        <w:t>202</w:t>
      </w:r>
      <w:r>
        <w:rPr>
          <w:rFonts w:eastAsia="仿宋" w:cs="Times New Roman" w:hint="eastAsia"/>
          <w:sz w:val="28"/>
          <w:szCs w:val="28"/>
        </w:rPr>
        <w:t>2-2024</w:t>
      </w:r>
      <w:r>
        <w:rPr>
          <w:rFonts w:eastAsia="仿宋" w:cs="Times New Roman"/>
          <w:sz w:val="28"/>
          <w:szCs w:val="28"/>
        </w:rPr>
        <w:t>年，详见下表</w:t>
      </w:r>
      <w:r>
        <w:rPr>
          <w:rFonts w:eastAsia="仿宋" w:cs="Times New Roman" w:hint="eastAsia"/>
          <w:sz w:val="28"/>
          <w:szCs w:val="28"/>
        </w:rPr>
        <w:t>：</w:t>
      </w:r>
    </w:p>
    <w:p w:rsidR="00A37F3C" w:rsidRDefault="000402D8">
      <w:pPr>
        <w:spacing w:after="0" w:line="240" w:lineRule="auto"/>
        <w:ind w:firstLineChars="0" w:firstLine="0"/>
        <w:jc w:val="center"/>
        <w:rPr>
          <w:rFonts w:eastAsia="仿宋" w:cs="Times New Roman"/>
          <w:b/>
          <w:bCs/>
          <w:sz w:val="24"/>
          <w:szCs w:val="24"/>
        </w:rPr>
      </w:pPr>
      <w:r>
        <w:rPr>
          <w:rFonts w:eastAsia="仿宋" w:cs="Times New Roman"/>
          <w:b/>
          <w:bCs/>
          <w:sz w:val="24"/>
          <w:szCs w:val="24"/>
        </w:rPr>
        <w:t>表</w:t>
      </w:r>
      <w:r>
        <w:rPr>
          <w:rFonts w:eastAsia="仿宋" w:cs="Times New Roman" w:hint="eastAsia"/>
          <w:b/>
          <w:bCs/>
          <w:sz w:val="24"/>
          <w:szCs w:val="24"/>
        </w:rPr>
        <w:t xml:space="preserve">1 </w:t>
      </w:r>
      <w:r>
        <w:rPr>
          <w:rFonts w:eastAsia="仿宋" w:cs="Times New Roman"/>
          <w:b/>
          <w:bCs/>
          <w:sz w:val="24"/>
          <w:szCs w:val="24"/>
        </w:rPr>
        <w:t>成片开发年度实施计划表</w:t>
      </w:r>
    </w:p>
    <w:p w:rsidR="00A37F3C" w:rsidRDefault="000402D8">
      <w:pPr>
        <w:spacing w:after="0" w:line="240" w:lineRule="auto"/>
        <w:ind w:firstLineChars="0" w:firstLine="0"/>
        <w:jc w:val="right"/>
        <w:rPr>
          <w:rFonts w:eastAsia="仿宋" w:cs="Times New Roman"/>
          <w:b/>
          <w:bCs/>
          <w:sz w:val="24"/>
          <w:szCs w:val="24"/>
        </w:rPr>
      </w:pPr>
      <w:r>
        <w:rPr>
          <w:rFonts w:eastAsia="仿宋" w:cs="Times New Roman"/>
          <w:sz w:val="21"/>
        </w:rPr>
        <w:t>单位：亩</w:t>
      </w:r>
    </w:p>
    <w:tbl>
      <w:tblPr>
        <w:tblpPr w:leftFromText="180" w:rightFromText="180" w:vertAnchor="text" w:horzAnchor="page" w:tblpX="1086" w:tblpY="287"/>
        <w:tblOverlap w:val="never"/>
        <w:tblW w:w="54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0"/>
        <w:gridCol w:w="2327"/>
        <w:gridCol w:w="1809"/>
        <w:gridCol w:w="1437"/>
        <w:gridCol w:w="1130"/>
        <w:gridCol w:w="1119"/>
        <w:gridCol w:w="1269"/>
      </w:tblGrid>
      <w:tr w:rsidR="00A37F3C">
        <w:trPr>
          <w:trHeight w:val="650"/>
          <w:tblHeader/>
        </w:trPr>
        <w:tc>
          <w:tcPr>
            <w:tcW w:w="399" w:type="pct"/>
            <w:vMerge w:val="restar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hint="eastAsia"/>
                <w:b/>
                <w:bCs/>
                <w:kern w:val="0"/>
                <w:sz w:val="21"/>
              </w:rPr>
              <w:t>序</w:t>
            </w:r>
            <w:r>
              <w:rPr>
                <w:rFonts w:eastAsia="仿宋" w:cs="Times New Roman"/>
                <w:b/>
                <w:bCs/>
                <w:kern w:val="0"/>
                <w:sz w:val="21"/>
              </w:rPr>
              <w:t>号</w:t>
            </w:r>
          </w:p>
        </w:tc>
        <w:tc>
          <w:tcPr>
            <w:tcW w:w="1177" w:type="pct"/>
            <w:vMerge w:val="restar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b/>
                <w:bCs/>
                <w:kern w:val="0"/>
                <w:sz w:val="21"/>
              </w:rPr>
              <w:t>片区名称</w:t>
            </w:r>
          </w:p>
        </w:tc>
        <w:tc>
          <w:tcPr>
            <w:tcW w:w="915" w:type="pct"/>
            <w:vMerge w:val="restar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b/>
                <w:bCs/>
                <w:kern w:val="0"/>
                <w:sz w:val="21"/>
              </w:rPr>
              <w:t>拟征收地块</w:t>
            </w:r>
          </w:p>
        </w:tc>
        <w:tc>
          <w:tcPr>
            <w:tcW w:w="725" w:type="pct"/>
            <w:vMerge w:val="restar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b/>
                <w:bCs/>
                <w:kern w:val="0"/>
                <w:sz w:val="21"/>
              </w:rPr>
              <w:t>开发时序</w:t>
            </w:r>
          </w:p>
        </w:tc>
        <w:tc>
          <w:tcPr>
            <w:tcW w:w="572" w:type="pct"/>
            <w:vMerge w:val="restart"/>
            <w:shd w:val="clear" w:color="auto" w:fill="auto"/>
            <w:vAlign w:val="center"/>
          </w:tcPr>
          <w:p w:rsidR="00A37F3C" w:rsidRDefault="000402D8">
            <w:pPr>
              <w:widowControl/>
              <w:spacing w:after="0" w:line="240" w:lineRule="auto"/>
              <w:ind w:firstLineChars="0" w:firstLine="0"/>
              <w:jc w:val="center"/>
              <w:textAlignment w:val="center"/>
              <w:rPr>
                <w:rFonts w:eastAsia="仿宋" w:cs="Times New Roman"/>
                <w:b/>
                <w:bCs/>
                <w:kern w:val="0"/>
                <w:sz w:val="21"/>
              </w:rPr>
            </w:pPr>
            <w:r>
              <w:rPr>
                <w:rFonts w:eastAsia="仿宋" w:cs="Times New Roman"/>
                <w:b/>
                <w:bCs/>
                <w:kern w:val="0"/>
                <w:sz w:val="21"/>
              </w:rPr>
              <w:t>拟征收</w:t>
            </w:r>
          </w:p>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b/>
                <w:bCs/>
                <w:kern w:val="0"/>
                <w:sz w:val="21"/>
              </w:rPr>
              <w:t>面积</w:t>
            </w:r>
          </w:p>
        </w:tc>
        <w:tc>
          <w:tcPr>
            <w:tcW w:w="1208" w:type="pct"/>
            <w:gridSpan w:val="2"/>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kern w:val="0"/>
                <w:sz w:val="21"/>
              </w:rPr>
            </w:pPr>
            <w:r>
              <w:rPr>
                <w:rFonts w:eastAsia="仿宋" w:cs="Times New Roman"/>
                <w:b/>
                <w:bCs/>
                <w:kern w:val="0"/>
                <w:sz w:val="21"/>
              </w:rPr>
              <w:t>年度实施计划</w:t>
            </w:r>
          </w:p>
        </w:tc>
      </w:tr>
      <w:tr w:rsidR="00A37F3C">
        <w:trPr>
          <w:trHeight w:val="1032"/>
          <w:tblHeader/>
        </w:trPr>
        <w:tc>
          <w:tcPr>
            <w:tcW w:w="399" w:type="pct"/>
            <w:vMerge/>
            <w:shd w:val="clear" w:color="auto" w:fill="auto"/>
            <w:noWrap/>
            <w:vAlign w:val="center"/>
          </w:tcPr>
          <w:p w:rsidR="00A37F3C" w:rsidRDefault="00A37F3C">
            <w:pPr>
              <w:spacing w:after="0" w:line="240" w:lineRule="auto"/>
              <w:ind w:firstLineChars="0" w:firstLine="0"/>
              <w:jc w:val="center"/>
              <w:rPr>
                <w:rFonts w:eastAsia="仿宋" w:cs="Times New Roman"/>
                <w:b/>
                <w:bCs/>
                <w:sz w:val="21"/>
              </w:rPr>
            </w:pPr>
          </w:p>
        </w:tc>
        <w:tc>
          <w:tcPr>
            <w:tcW w:w="1177" w:type="pct"/>
            <w:vMerge/>
            <w:shd w:val="clear" w:color="auto" w:fill="auto"/>
            <w:noWrap/>
            <w:vAlign w:val="center"/>
          </w:tcPr>
          <w:p w:rsidR="00A37F3C" w:rsidRDefault="00A37F3C">
            <w:pPr>
              <w:spacing w:after="0" w:line="240" w:lineRule="auto"/>
              <w:ind w:firstLineChars="0" w:firstLine="0"/>
              <w:jc w:val="center"/>
              <w:rPr>
                <w:rFonts w:eastAsia="仿宋" w:cs="Times New Roman"/>
                <w:b/>
                <w:bCs/>
                <w:sz w:val="21"/>
              </w:rPr>
            </w:pPr>
          </w:p>
        </w:tc>
        <w:tc>
          <w:tcPr>
            <w:tcW w:w="915" w:type="pct"/>
            <w:vMerge/>
            <w:shd w:val="clear" w:color="auto" w:fill="auto"/>
            <w:noWrap/>
            <w:vAlign w:val="center"/>
          </w:tcPr>
          <w:p w:rsidR="00A37F3C" w:rsidRDefault="00A37F3C">
            <w:pPr>
              <w:spacing w:after="0" w:line="240" w:lineRule="auto"/>
              <w:ind w:firstLineChars="0" w:firstLine="0"/>
              <w:jc w:val="center"/>
              <w:rPr>
                <w:rFonts w:eastAsia="仿宋" w:cs="Times New Roman"/>
                <w:b/>
                <w:bCs/>
                <w:sz w:val="21"/>
              </w:rPr>
            </w:pPr>
          </w:p>
        </w:tc>
        <w:tc>
          <w:tcPr>
            <w:tcW w:w="725" w:type="pct"/>
            <w:vMerge/>
            <w:shd w:val="clear" w:color="auto" w:fill="auto"/>
            <w:noWrap/>
            <w:vAlign w:val="center"/>
          </w:tcPr>
          <w:p w:rsidR="00A37F3C" w:rsidRDefault="00A37F3C">
            <w:pPr>
              <w:spacing w:after="0" w:line="240" w:lineRule="auto"/>
              <w:ind w:firstLineChars="0" w:firstLine="0"/>
              <w:jc w:val="center"/>
              <w:rPr>
                <w:rFonts w:eastAsia="仿宋" w:cs="Times New Roman"/>
                <w:b/>
                <w:bCs/>
                <w:sz w:val="21"/>
              </w:rPr>
            </w:pPr>
          </w:p>
        </w:tc>
        <w:tc>
          <w:tcPr>
            <w:tcW w:w="572" w:type="pct"/>
            <w:vMerge/>
            <w:shd w:val="clear" w:color="auto" w:fill="auto"/>
            <w:vAlign w:val="center"/>
          </w:tcPr>
          <w:p w:rsidR="00A37F3C" w:rsidRDefault="00A37F3C">
            <w:pPr>
              <w:spacing w:after="0" w:line="240" w:lineRule="auto"/>
              <w:ind w:firstLineChars="0" w:firstLine="0"/>
              <w:jc w:val="center"/>
              <w:rPr>
                <w:rFonts w:eastAsia="仿宋" w:cs="Times New Roman"/>
                <w:b/>
                <w:bCs/>
                <w:sz w:val="21"/>
              </w:rPr>
            </w:pP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sz w:val="21"/>
              </w:rPr>
            </w:pPr>
            <w:r>
              <w:rPr>
                <w:rFonts w:eastAsia="仿宋" w:cs="Times New Roman"/>
                <w:b/>
                <w:bCs/>
                <w:kern w:val="0"/>
                <w:sz w:val="21"/>
              </w:rPr>
              <w:t>2022</w:t>
            </w:r>
            <w:r>
              <w:rPr>
                <w:rFonts w:eastAsia="仿宋" w:cs="Times New Roman"/>
                <w:b/>
                <w:bCs/>
                <w:kern w:val="0"/>
                <w:sz w:val="21"/>
              </w:rPr>
              <w:t>年</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kern w:val="0"/>
                <w:sz w:val="21"/>
              </w:rPr>
            </w:pPr>
            <w:r>
              <w:rPr>
                <w:rFonts w:eastAsia="仿宋" w:cs="Times New Roman"/>
                <w:b/>
                <w:bCs/>
                <w:kern w:val="0"/>
                <w:sz w:val="21"/>
              </w:rPr>
              <w:t>2022-2024</w:t>
            </w:r>
            <w:r>
              <w:rPr>
                <w:rFonts w:eastAsia="仿宋" w:cs="Times New Roman"/>
                <w:b/>
                <w:bCs/>
                <w:kern w:val="0"/>
                <w:sz w:val="21"/>
              </w:rPr>
              <w:t>年</w:t>
            </w:r>
          </w:p>
        </w:tc>
      </w:tr>
      <w:tr w:rsidR="00A37F3C">
        <w:trPr>
          <w:trHeight w:val="1318"/>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hint="eastAsia"/>
                <w:kern w:val="0"/>
                <w:sz w:val="21"/>
              </w:rPr>
              <w:t>1</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color w:val="000000"/>
                <w:kern w:val="0"/>
                <w:sz w:val="21"/>
              </w:rPr>
              <w:t>汕头市潮阳区棉北街道东家宫片区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hint="eastAsia"/>
                <w:kern w:val="0"/>
                <w:sz w:val="21"/>
              </w:rPr>
              <w:t>棉北街道东家宫地</w:t>
            </w:r>
            <w:r>
              <w:rPr>
                <w:rFonts w:eastAsia="仿宋" w:cs="Times New Roman"/>
                <w:kern w:val="0"/>
                <w:sz w:val="21"/>
              </w:rPr>
              <w:t>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85.5675</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820"/>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2</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汕头市潮阳区棉北街道平北居委护城河东侧片区（环市路原粮食市场周边片区）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环市路原粮食市场周边片区地块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75.3375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820"/>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3</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汕头市潮阳区棉北街道平北居委护城河东侧片区（棉北街道实验学校周边片区）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棉北街道实验学校周边片区地块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17.7240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368"/>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4</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汕头市潮阳区棉北街道平南居委工业区周边片区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阳光城西南角地块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7.3950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5</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汕头市潮阳区棉北街道平南居委工业区片区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广东好女人工业园相邻地块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70.9320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6</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汕头市潮阳区金浦街道工改工片区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金浦街道</w:t>
            </w:r>
            <w:r>
              <w:rPr>
                <w:rFonts w:eastAsia="仿宋" w:cs="Times New Roman" w:hint="eastAsia"/>
                <w:kern w:val="0"/>
                <w:sz w:val="21"/>
              </w:rPr>
              <w:t>径门嘴路东</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106.0455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7</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汕头市潮阳区海门镇北门片区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海门镇北门地块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30.3300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lastRenderedPageBreak/>
              <w:t>8</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color w:val="000000"/>
                <w:kern w:val="0"/>
                <w:sz w:val="21"/>
              </w:rPr>
            </w:pPr>
            <w:r>
              <w:rPr>
                <w:rFonts w:eastAsia="仿宋" w:cs="Times New Roman"/>
                <w:color w:val="000000"/>
                <w:kern w:val="0"/>
                <w:sz w:val="21"/>
              </w:rPr>
              <w:t>汕头市潮阳区海门镇西南门迎宾路南侧片区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color w:val="000000"/>
                <w:kern w:val="0"/>
                <w:sz w:val="21"/>
              </w:rPr>
              <w:t>海门镇</w:t>
            </w:r>
            <w:r>
              <w:rPr>
                <w:rFonts w:eastAsia="仿宋" w:cs="Times New Roman"/>
                <w:color w:val="000000"/>
                <w:kern w:val="0"/>
                <w:sz w:val="21"/>
              </w:rPr>
              <w:t>西南门迎宾路南侧地块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5.8035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9</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color w:val="000000"/>
                <w:kern w:val="0"/>
                <w:sz w:val="21"/>
              </w:rPr>
            </w:pPr>
            <w:r>
              <w:rPr>
                <w:rFonts w:eastAsia="仿宋" w:cs="Times New Roman"/>
                <w:color w:val="000000"/>
                <w:kern w:val="0"/>
                <w:sz w:val="21"/>
              </w:rPr>
              <w:t>汕头市潮阳区海门镇西南门笔架山片区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color w:val="000000"/>
                <w:kern w:val="0"/>
                <w:sz w:val="21"/>
              </w:rPr>
              <w:t>海门镇</w:t>
            </w:r>
            <w:bookmarkStart w:id="4" w:name="_GoBack"/>
            <w:bookmarkEnd w:id="4"/>
            <w:r>
              <w:rPr>
                <w:rFonts w:eastAsia="仿宋" w:cs="Times New Roman"/>
                <w:color w:val="000000"/>
                <w:kern w:val="0"/>
                <w:sz w:val="21"/>
              </w:rPr>
              <w:t>西南门笔架山地块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52.8585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10</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汕头市潮阳区海门镇洪洞片区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海门镇</w:t>
            </w:r>
            <w:r>
              <w:rPr>
                <w:rFonts w:eastAsia="仿宋" w:cs="Times New Roman"/>
                <w:kern w:val="0"/>
                <w:sz w:val="21"/>
              </w:rPr>
              <w:t>洪洞</w:t>
            </w:r>
            <w:r>
              <w:rPr>
                <w:rFonts w:eastAsia="仿宋" w:cs="Times New Roman" w:hint="eastAsia"/>
                <w:kern w:val="0"/>
                <w:sz w:val="21"/>
              </w:rPr>
              <w:t>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23.8230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368"/>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11</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汕头市潮阳区海门镇环市东路东侧片区（海门临港特色产业片区）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海门临港特色产业园片区</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1735.7610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368"/>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12</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汕头市潮阳区灰田公路与陈南公路交界处西南侧片区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汕头</w:t>
            </w:r>
            <w:r>
              <w:rPr>
                <w:rFonts w:eastAsia="仿宋" w:cs="Times New Roman" w:hint="eastAsia"/>
                <w:kern w:val="0"/>
                <w:sz w:val="21"/>
              </w:rPr>
              <w:t>国际</w:t>
            </w:r>
            <w:r>
              <w:rPr>
                <w:rFonts w:eastAsia="仿宋" w:cs="Times New Roman"/>
                <w:kern w:val="0"/>
                <w:sz w:val="21"/>
              </w:rPr>
              <w:t>纺织服装产业基地</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1456.6080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13</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color w:val="000000"/>
                <w:kern w:val="0"/>
                <w:sz w:val="21"/>
              </w:rPr>
              <w:t>汕头市潮阳区贵屿镇联堤片区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贵屿镇联堤地块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44.5995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1079"/>
        </w:trPr>
        <w:tc>
          <w:tcPr>
            <w:tcW w:w="399"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14</w:t>
            </w:r>
          </w:p>
        </w:tc>
        <w:tc>
          <w:tcPr>
            <w:tcW w:w="1177"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color w:val="000000"/>
                <w:kern w:val="0"/>
                <w:sz w:val="21"/>
              </w:rPr>
            </w:pPr>
            <w:r>
              <w:rPr>
                <w:rFonts w:eastAsia="仿宋" w:cs="Times New Roman"/>
                <w:color w:val="000000"/>
                <w:kern w:val="0"/>
                <w:sz w:val="21"/>
              </w:rPr>
              <w:t>汕头市潮阳区和平镇江北片区</w:t>
            </w:r>
          </w:p>
        </w:tc>
        <w:tc>
          <w:tcPr>
            <w:tcW w:w="91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hint="eastAsia"/>
                <w:kern w:val="0"/>
                <w:sz w:val="21"/>
              </w:rPr>
              <w:t>和平镇临昆上、练北</w:t>
            </w:r>
            <w:r>
              <w:rPr>
                <w:rFonts w:eastAsia="仿宋" w:cs="Times New Roman"/>
                <w:kern w:val="0"/>
                <w:sz w:val="21"/>
              </w:rPr>
              <w:t>地块</w:t>
            </w:r>
          </w:p>
        </w:tc>
        <w:tc>
          <w:tcPr>
            <w:tcW w:w="725"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2022-2024</w:t>
            </w:r>
            <w:r>
              <w:rPr>
                <w:rFonts w:eastAsia="仿宋" w:cs="Times New Roman"/>
                <w:kern w:val="0"/>
                <w:sz w:val="21"/>
              </w:rPr>
              <w:t>年</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302.8500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前期准备</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完成征收</w:t>
            </w:r>
          </w:p>
        </w:tc>
      </w:tr>
      <w:tr w:rsidR="00A37F3C">
        <w:trPr>
          <w:trHeight w:val="869"/>
        </w:trPr>
        <w:tc>
          <w:tcPr>
            <w:tcW w:w="3218" w:type="pct"/>
            <w:gridSpan w:val="4"/>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b/>
                <w:bCs/>
                <w:kern w:val="0"/>
                <w:sz w:val="21"/>
              </w:rPr>
            </w:pPr>
            <w:r>
              <w:rPr>
                <w:rFonts w:eastAsia="仿宋" w:cs="Times New Roman"/>
                <w:b/>
                <w:bCs/>
                <w:kern w:val="0"/>
                <w:sz w:val="21"/>
              </w:rPr>
              <w:t>合计</w:t>
            </w:r>
          </w:p>
        </w:tc>
        <w:tc>
          <w:tcPr>
            <w:tcW w:w="57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 xml:space="preserve">4015.6350 </w:t>
            </w:r>
          </w:p>
        </w:tc>
        <w:tc>
          <w:tcPr>
            <w:tcW w:w="566"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w:t>
            </w:r>
          </w:p>
        </w:tc>
        <w:tc>
          <w:tcPr>
            <w:tcW w:w="642" w:type="pct"/>
            <w:shd w:val="clear" w:color="auto" w:fill="auto"/>
            <w:noWrap/>
            <w:vAlign w:val="center"/>
          </w:tcPr>
          <w:p w:rsidR="00A37F3C" w:rsidRDefault="000402D8">
            <w:pPr>
              <w:widowControl/>
              <w:spacing w:after="0" w:line="240" w:lineRule="auto"/>
              <w:ind w:firstLineChars="0" w:firstLine="0"/>
              <w:jc w:val="center"/>
              <w:textAlignment w:val="center"/>
              <w:rPr>
                <w:rFonts w:eastAsia="仿宋" w:cs="Times New Roman"/>
                <w:kern w:val="0"/>
                <w:sz w:val="21"/>
              </w:rPr>
            </w:pPr>
            <w:r>
              <w:rPr>
                <w:rFonts w:eastAsia="仿宋" w:cs="Times New Roman"/>
                <w:kern w:val="0"/>
                <w:sz w:val="21"/>
              </w:rPr>
              <w:t>—</w:t>
            </w:r>
          </w:p>
        </w:tc>
      </w:tr>
    </w:tbl>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八、效益评估</w:t>
      </w:r>
    </w:p>
    <w:p w:rsidR="00A37F3C" w:rsidRDefault="000402D8">
      <w:pPr>
        <w:spacing w:after="0" w:line="560" w:lineRule="exact"/>
        <w:ind w:firstLineChars="138" w:firstLine="388"/>
        <w:outlineLvl w:val="2"/>
        <w:rPr>
          <w:rFonts w:eastAsia="仿宋" w:cs="Times New Roman"/>
          <w:b/>
          <w:sz w:val="28"/>
          <w:szCs w:val="28"/>
        </w:rPr>
      </w:pPr>
      <w:bookmarkStart w:id="5" w:name="_Toc64714037"/>
      <w:bookmarkStart w:id="6" w:name="_Toc6559"/>
      <w:r>
        <w:rPr>
          <w:rFonts w:eastAsia="仿宋" w:cs="Times New Roman" w:hint="eastAsia"/>
          <w:b/>
          <w:sz w:val="28"/>
          <w:szCs w:val="28"/>
        </w:rPr>
        <w:t>（一）土地利用效益</w:t>
      </w:r>
      <w:bookmarkEnd w:id="5"/>
      <w:bookmarkEnd w:id="6"/>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成片开发有利于优化新增建设用地空间布局，在满足潮阳区现代产业发展、城区基础设施及公服配套用地需求的同时，也利于强化建设用地效能提升，提高建设用地集约利用水平，推动潮阳区土地利用由粗放型向集约型的高质量发展转变。对于增量开发用地，成片开发有利于统筹域内用地和公共基础设施配建，争取更科学的规划建设指标，提高土地利用效益。对于存量更新用地，可以利用成片开发补足公共基础设施短板，优化原规</w:t>
      </w:r>
      <w:r>
        <w:rPr>
          <w:rFonts w:eastAsia="仿宋" w:cs="Times New Roman" w:hint="eastAsia"/>
          <w:sz w:val="28"/>
          <w:szCs w:val="28"/>
        </w:rPr>
        <w:lastRenderedPageBreak/>
        <w:t>划建设指标，提高土地利用效益。</w:t>
      </w:r>
      <w:bookmarkStart w:id="7" w:name="_Toc64714038"/>
      <w:bookmarkStart w:id="8" w:name="_Toc21826"/>
    </w:p>
    <w:p w:rsidR="00A37F3C" w:rsidRDefault="000402D8">
      <w:pPr>
        <w:spacing w:after="0" w:line="560" w:lineRule="exact"/>
        <w:ind w:firstLineChars="138" w:firstLine="388"/>
        <w:outlineLvl w:val="2"/>
        <w:rPr>
          <w:rFonts w:eastAsia="仿宋" w:cs="Times New Roman"/>
          <w:b/>
          <w:sz w:val="28"/>
          <w:szCs w:val="28"/>
        </w:rPr>
      </w:pPr>
      <w:r>
        <w:rPr>
          <w:rFonts w:eastAsia="仿宋" w:cs="Times New Roman" w:hint="eastAsia"/>
          <w:b/>
          <w:sz w:val="28"/>
          <w:szCs w:val="28"/>
        </w:rPr>
        <w:t>（二）经济</w:t>
      </w:r>
      <w:bookmarkEnd w:id="7"/>
      <w:r>
        <w:rPr>
          <w:rFonts w:eastAsia="仿宋" w:cs="Times New Roman" w:hint="eastAsia"/>
          <w:b/>
          <w:sz w:val="28"/>
          <w:szCs w:val="28"/>
        </w:rPr>
        <w:t>效益</w:t>
      </w:r>
      <w:bookmarkEnd w:id="8"/>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潮阳区紧抓和贯彻省“双核</w:t>
      </w:r>
      <w:r>
        <w:rPr>
          <w:rFonts w:eastAsia="仿宋" w:cs="Times New Roman" w:hint="eastAsia"/>
          <w:sz w:val="28"/>
          <w:szCs w:val="28"/>
        </w:rPr>
        <w:t>+</w:t>
      </w:r>
      <w:r>
        <w:rPr>
          <w:rFonts w:eastAsia="仿宋" w:cs="Times New Roman" w:hint="eastAsia"/>
          <w:sz w:val="28"/>
          <w:szCs w:val="28"/>
        </w:rPr>
        <w:t>双副中心”以及市委市政府“工业立市、产业强市”的发展思路</w:t>
      </w:r>
      <w:r>
        <w:rPr>
          <w:rFonts w:eastAsia="仿宋" w:cs="Times New Roman" w:hint="eastAsia"/>
          <w:sz w:val="28"/>
          <w:szCs w:val="28"/>
        </w:rPr>
        <w:t>，大力推行招商引资，加快推进区内重点产业项目部署、居住商业以及基础设施配套建设，通过做大做强潮阳区主中心城区，推动潮阳区“五区”协同快速发展，逐步实现潮阳区工业产业转型升级，为推动建成高质量发展、高水平文明的汕头西翼现代化新城区提供重要的经济动力支撑。</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片区内居住商业、基础设施配套以及产业项目落地，不仅能满足当地居住、商业用地需求以及产业发展需求，同时也为地方创造可观的财政收入。</w:t>
      </w:r>
    </w:p>
    <w:p w:rsidR="00A37F3C" w:rsidRDefault="000402D8">
      <w:pPr>
        <w:spacing w:after="0" w:line="560" w:lineRule="exact"/>
        <w:ind w:firstLineChars="138" w:firstLine="388"/>
        <w:outlineLvl w:val="2"/>
        <w:rPr>
          <w:rFonts w:eastAsia="仿宋" w:cs="Times New Roman"/>
          <w:b/>
          <w:sz w:val="28"/>
          <w:szCs w:val="28"/>
        </w:rPr>
      </w:pPr>
      <w:bookmarkStart w:id="9" w:name="_Toc12423"/>
      <w:r>
        <w:rPr>
          <w:rFonts w:eastAsia="仿宋" w:cs="Times New Roman" w:hint="eastAsia"/>
          <w:b/>
          <w:sz w:val="28"/>
          <w:szCs w:val="28"/>
        </w:rPr>
        <w:t>（三）社会效益</w:t>
      </w:r>
      <w:bookmarkEnd w:id="9"/>
    </w:p>
    <w:p w:rsidR="00A37F3C" w:rsidRDefault="000402D8">
      <w:pPr>
        <w:numPr>
          <w:ilvl w:val="255"/>
          <w:numId w:val="0"/>
        </w:numPr>
        <w:spacing w:after="0" w:line="560" w:lineRule="exact"/>
        <w:ind w:firstLine="560"/>
        <w:rPr>
          <w:rFonts w:eastAsia="仿宋" w:cs="Times New Roman"/>
          <w:b/>
          <w:bCs/>
          <w:sz w:val="28"/>
          <w:szCs w:val="28"/>
        </w:rPr>
      </w:pPr>
      <w:r>
        <w:rPr>
          <w:rFonts w:eastAsia="仿宋" w:cs="Times New Roman" w:hint="eastAsia"/>
          <w:b/>
          <w:bCs/>
          <w:sz w:val="28"/>
          <w:szCs w:val="28"/>
        </w:rPr>
        <w:t>1</w:t>
      </w:r>
      <w:r>
        <w:rPr>
          <w:rFonts w:eastAsia="仿宋" w:cs="Times New Roman" w:hint="eastAsia"/>
          <w:b/>
          <w:bCs/>
          <w:sz w:val="28"/>
          <w:szCs w:val="28"/>
        </w:rPr>
        <w:t>、带动当地就业，提升居民生活水平</w:t>
      </w:r>
    </w:p>
    <w:p w:rsidR="00A37F3C" w:rsidRDefault="000402D8">
      <w:pPr>
        <w:spacing w:after="0" w:line="560" w:lineRule="exact"/>
        <w:ind w:firstLineChars="0" w:firstLine="560"/>
        <w:rPr>
          <w:rFonts w:eastAsia="仿宋" w:cs="Times New Roman"/>
          <w:sz w:val="28"/>
          <w:szCs w:val="28"/>
        </w:rPr>
      </w:pPr>
      <w:r>
        <w:rPr>
          <w:rFonts w:eastAsia="仿宋" w:cs="Times New Roman" w:hint="eastAsia"/>
          <w:sz w:val="28"/>
          <w:szCs w:val="28"/>
        </w:rPr>
        <w:t>《方案》可实现城市服务和产业发展两大功能，通过城市开发建设，吸引投资，带动就业。同时重点推进产业园区发展，优化产业结构和空间布局，结合政策红利，吸引企业入驻发展，带动地方人才市场，产生更多的就业机会，缓解本地居民就业压力，提高当地居民收入水平。</w:t>
      </w:r>
    </w:p>
    <w:p w:rsidR="00A37F3C" w:rsidRDefault="000402D8">
      <w:pPr>
        <w:numPr>
          <w:ilvl w:val="255"/>
          <w:numId w:val="0"/>
        </w:numPr>
        <w:spacing w:after="0" w:line="560" w:lineRule="exact"/>
        <w:ind w:firstLine="560"/>
        <w:rPr>
          <w:rFonts w:eastAsia="仿宋" w:cs="Times New Roman"/>
          <w:b/>
          <w:bCs/>
          <w:sz w:val="28"/>
          <w:szCs w:val="28"/>
        </w:rPr>
      </w:pPr>
      <w:r>
        <w:rPr>
          <w:rFonts w:eastAsia="仿宋" w:cs="Times New Roman" w:hint="eastAsia"/>
          <w:b/>
          <w:bCs/>
          <w:sz w:val="28"/>
          <w:szCs w:val="28"/>
        </w:rPr>
        <w:t>2</w:t>
      </w:r>
      <w:r>
        <w:rPr>
          <w:rFonts w:eastAsia="仿宋" w:cs="Times New Roman" w:hint="eastAsia"/>
          <w:b/>
          <w:bCs/>
          <w:sz w:val="28"/>
          <w:szCs w:val="28"/>
        </w:rPr>
        <w:t>、提升城区品质，增强片区吸引力</w:t>
      </w:r>
    </w:p>
    <w:p w:rsidR="00A37F3C" w:rsidRDefault="000402D8">
      <w:pPr>
        <w:spacing w:after="0" w:line="560" w:lineRule="exact"/>
        <w:ind w:firstLine="560"/>
        <w:rPr>
          <w:rFonts w:eastAsia="仿宋" w:cs="Times New Roman"/>
          <w:sz w:val="28"/>
          <w:szCs w:val="28"/>
          <w:highlight w:val="yellow"/>
        </w:rPr>
      </w:pPr>
      <w:r>
        <w:rPr>
          <w:rFonts w:eastAsia="仿宋" w:cs="Times New Roman" w:hint="eastAsia"/>
          <w:sz w:val="28"/>
          <w:szCs w:val="28"/>
        </w:rPr>
        <w:t>《方案》划定后将配套</w:t>
      </w:r>
      <w:r>
        <w:rPr>
          <w:rFonts w:eastAsia="仿宋" w:cs="Times New Roman" w:hint="eastAsia"/>
          <w:sz w:val="28"/>
          <w:szCs w:val="28"/>
        </w:rPr>
        <w:t>40%</w:t>
      </w:r>
      <w:r>
        <w:rPr>
          <w:rFonts w:eastAsia="仿宋" w:cs="Times New Roman" w:hint="eastAsia"/>
          <w:sz w:val="28"/>
          <w:szCs w:val="28"/>
        </w:rPr>
        <w:t>以上比例的公益性用地，将推动片区内公共服务设施用地和基础设施用地的建设，改善区域设施服务水平。通过规划更多的公园绿地和保留原生态自然山体，满足人民群众对于人居生活环境品质提升的需求。同时，市政道路的配套完善</w:t>
      </w:r>
      <w:r>
        <w:rPr>
          <w:rFonts w:eastAsia="仿宋" w:cs="Times New Roman" w:hint="eastAsia"/>
          <w:sz w:val="28"/>
          <w:szCs w:val="28"/>
        </w:rPr>
        <w:t>，将改善区域的交通网络，大大提升生活便利度与满意度。</w:t>
      </w:r>
    </w:p>
    <w:p w:rsidR="00A37F3C" w:rsidRDefault="000402D8">
      <w:pPr>
        <w:spacing w:after="0" w:line="560" w:lineRule="exact"/>
        <w:ind w:firstLineChars="138" w:firstLine="388"/>
        <w:outlineLvl w:val="2"/>
        <w:rPr>
          <w:rFonts w:eastAsia="仿宋" w:cs="Times New Roman"/>
          <w:b/>
          <w:sz w:val="28"/>
          <w:szCs w:val="28"/>
        </w:rPr>
      </w:pPr>
      <w:r>
        <w:rPr>
          <w:rFonts w:eastAsia="仿宋" w:cs="Times New Roman" w:hint="eastAsia"/>
          <w:b/>
          <w:sz w:val="28"/>
          <w:szCs w:val="28"/>
        </w:rPr>
        <w:t>（四）生态效益</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《方案》坚持绿色发展理念，成片开发范围不涉及土地利用总体规划</w:t>
      </w:r>
      <w:r>
        <w:rPr>
          <w:rFonts w:eastAsia="仿宋" w:cs="Times New Roman" w:hint="eastAsia"/>
          <w:sz w:val="28"/>
          <w:szCs w:val="28"/>
        </w:rPr>
        <w:lastRenderedPageBreak/>
        <w:t>的永久基本农田保护区、生态保护红线、水源保护区、生态环境安全控制区、自然与文化遗产保护区等环境敏感区域，符合尊重自然、顺应自然、保护自然，坚持生态立区原则不动摇的发展要求。此外，结合项目类型采取有效的环境影响保护控制及削减措施，避免对区域大气环境、生态环境、地下水环境、土壤环境产生超出环境容量的影响，减少对区域生态环境品质产生的不利影响。</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同时，《方案》划定后，将有利于片区内新增</w:t>
      </w:r>
      <w:r>
        <w:rPr>
          <w:rFonts w:eastAsia="仿宋" w:cs="Times New Roman" w:hint="eastAsia"/>
          <w:sz w:val="28"/>
          <w:szCs w:val="28"/>
        </w:rPr>
        <w:t>公园绿地和防护绿地，减少灰尘和噪声污染，营造良好的环境，提升生态环境质量，统筹兼顾城市发展和生态保护，综合决策，合理开发。</w:t>
      </w:r>
    </w:p>
    <w:p w:rsidR="00A37F3C" w:rsidRDefault="000402D8" w:rsidP="000750E5">
      <w:pPr>
        <w:spacing w:beforeLines="20" w:afterLines="20" w:line="560" w:lineRule="exact"/>
        <w:ind w:firstLine="562"/>
        <w:outlineLvl w:val="1"/>
        <w:rPr>
          <w:rFonts w:eastAsia="黑体" w:cs="Times New Roman"/>
          <w:b/>
          <w:sz w:val="28"/>
          <w:szCs w:val="28"/>
        </w:rPr>
      </w:pPr>
      <w:r>
        <w:rPr>
          <w:rFonts w:eastAsia="黑体" w:cs="Times New Roman"/>
          <w:b/>
          <w:sz w:val="28"/>
          <w:szCs w:val="28"/>
        </w:rPr>
        <w:t>九、结论</w:t>
      </w:r>
    </w:p>
    <w:p w:rsidR="00A37F3C" w:rsidRDefault="000402D8">
      <w:pPr>
        <w:spacing w:after="0" w:line="560" w:lineRule="exact"/>
        <w:ind w:firstLine="560"/>
        <w:rPr>
          <w:rFonts w:eastAsia="仿宋" w:cs="Times New Roman"/>
          <w:sz w:val="28"/>
          <w:szCs w:val="28"/>
        </w:rPr>
      </w:pPr>
      <w:r>
        <w:rPr>
          <w:rFonts w:eastAsia="仿宋" w:cs="Times New Roman" w:hint="eastAsia"/>
          <w:sz w:val="28"/>
          <w:szCs w:val="28"/>
        </w:rPr>
        <w:t>综上所述，《汕头市潮阳区</w:t>
      </w:r>
      <w:r>
        <w:rPr>
          <w:rFonts w:eastAsia="仿宋" w:cs="Times New Roman" w:hint="eastAsia"/>
          <w:sz w:val="28"/>
          <w:szCs w:val="28"/>
        </w:rPr>
        <w:t>2022</w:t>
      </w:r>
      <w:r>
        <w:rPr>
          <w:rFonts w:eastAsia="仿宋" w:cs="Times New Roman" w:hint="eastAsia"/>
          <w:sz w:val="28"/>
          <w:szCs w:val="28"/>
        </w:rPr>
        <w:t>年度土地征收成片开发方案》符合自然资规〔</w:t>
      </w:r>
      <w:r>
        <w:rPr>
          <w:rFonts w:eastAsia="仿宋" w:cs="Times New Roman" w:hint="eastAsia"/>
          <w:sz w:val="28"/>
          <w:szCs w:val="28"/>
        </w:rPr>
        <w:t>2020</w:t>
      </w:r>
      <w:r>
        <w:rPr>
          <w:rFonts w:eastAsia="仿宋" w:cs="Times New Roman" w:hint="eastAsia"/>
          <w:sz w:val="28"/>
          <w:szCs w:val="28"/>
        </w:rPr>
        <w:t>〕</w:t>
      </w:r>
      <w:r>
        <w:rPr>
          <w:rFonts w:eastAsia="仿宋" w:cs="Times New Roman" w:hint="eastAsia"/>
          <w:sz w:val="28"/>
          <w:szCs w:val="28"/>
        </w:rPr>
        <w:t>5</w:t>
      </w:r>
      <w:r>
        <w:rPr>
          <w:rFonts w:eastAsia="仿宋" w:cs="Times New Roman" w:hint="eastAsia"/>
          <w:sz w:val="28"/>
          <w:szCs w:val="28"/>
        </w:rPr>
        <w:t>号文以及粤自然资发〔</w:t>
      </w:r>
      <w:r>
        <w:rPr>
          <w:rFonts w:eastAsia="仿宋" w:cs="Times New Roman" w:hint="eastAsia"/>
          <w:sz w:val="28"/>
          <w:szCs w:val="28"/>
        </w:rPr>
        <w:t>2021</w:t>
      </w:r>
      <w:r>
        <w:rPr>
          <w:rFonts w:eastAsia="仿宋" w:cs="Times New Roman" w:hint="eastAsia"/>
          <w:sz w:val="28"/>
          <w:szCs w:val="28"/>
        </w:rPr>
        <w:t>〕</w:t>
      </w:r>
      <w:r>
        <w:rPr>
          <w:rFonts w:eastAsia="仿宋" w:cs="Times New Roman" w:hint="eastAsia"/>
          <w:sz w:val="28"/>
          <w:szCs w:val="28"/>
        </w:rPr>
        <w:t>20</w:t>
      </w:r>
      <w:r>
        <w:rPr>
          <w:rFonts w:eastAsia="仿宋" w:cs="Times New Roman" w:hint="eastAsia"/>
          <w:sz w:val="28"/>
          <w:szCs w:val="28"/>
        </w:rPr>
        <w:t>号文的要求。</w:t>
      </w:r>
    </w:p>
    <w:p w:rsidR="00A37F3C" w:rsidRDefault="00A37F3C">
      <w:pPr>
        <w:spacing w:after="0" w:line="560" w:lineRule="exact"/>
        <w:ind w:firstLineChars="0" w:firstLine="0"/>
        <w:jc w:val="left"/>
        <w:rPr>
          <w:rFonts w:eastAsia="仿宋" w:cs="Times New Roman"/>
          <w:b/>
          <w:bCs/>
          <w:sz w:val="28"/>
          <w:szCs w:val="28"/>
          <w:highlight w:val="yellow"/>
        </w:rPr>
        <w:sectPr w:rsidR="00A37F3C">
          <w:headerReference w:type="even" r:id="rId8"/>
          <w:headerReference w:type="default" r:id="rId9"/>
          <w:footerReference w:type="even" r:id="rId10"/>
          <w:footerReference w:type="default" r:id="rId11"/>
          <w:headerReference w:type="first" r:id="rId12"/>
          <w:footerReference w:type="first" r:id="rId13"/>
          <w:pgSz w:w="11906" w:h="16838"/>
          <w:pgMar w:top="1134" w:right="1531" w:bottom="1134" w:left="1531" w:header="851" w:footer="992" w:gutter="0"/>
          <w:cols w:space="425"/>
          <w:docGrid w:type="lines" w:linePitch="312"/>
        </w:sectPr>
      </w:pPr>
    </w:p>
    <w:p w:rsidR="00A37F3C" w:rsidRDefault="000402D8">
      <w:pPr>
        <w:spacing w:after="0" w:line="560" w:lineRule="exact"/>
        <w:ind w:firstLineChars="0" w:firstLine="0"/>
        <w:jc w:val="left"/>
        <w:rPr>
          <w:rFonts w:cs="Times New Roman"/>
        </w:rPr>
      </w:pPr>
      <w:r>
        <w:rPr>
          <w:rFonts w:eastAsia="仿宋" w:cs="Times New Roman" w:hint="eastAsia"/>
          <w:b/>
          <w:bCs/>
          <w:sz w:val="28"/>
          <w:szCs w:val="28"/>
        </w:rPr>
        <w:lastRenderedPageBreak/>
        <w:t>附图：成片开发范围及拟实施征收地块布局图</w:t>
      </w:r>
    </w:p>
    <w:p w:rsidR="00A37F3C" w:rsidRDefault="000402D8">
      <w:pPr>
        <w:spacing w:after="0" w:line="240" w:lineRule="auto"/>
        <w:ind w:firstLineChars="0" w:firstLine="0"/>
        <w:jc w:val="center"/>
        <w:rPr>
          <w:rFonts w:cs="Times New Roman"/>
        </w:rPr>
      </w:pPr>
      <w:r>
        <w:rPr>
          <w:rFonts w:cs="Times New Roman"/>
          <w:noProof/>
        </w:rPr>
        <w:drawing>
          <wp:inline distT="0" distB="0" distL="114300" distR="114300">
            <wp:extent cx="7155180" cy="5059045"/>
            <wp:effectExtent l="0" t="0" r="7620" b="8255"/>
            <wp:docPr id="2" name="图片 2" descr="E:\潮阳区土地征收成片开发方案\5.出图\2022年度出图\附图22年度1-3月\3月\梓峰出图\年度计划\年度计划1.jpg年度计划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潮阳区土地征收成片开发方案\5.出图\2022年度出图\附图22年度1-3月\3月\梓峰出图\年度计划\年度计划1.jpg年度计划1"/>
                    <pic:cNvPicPr>
                      <a:picLocks noChangeAspect="1"/>
                    </pic:cNvPicPr>
                  </pic:nvPicPr>
                  <pic:blipFill>
                    <a:blip r:embed="rId14"/>
                    <a:srcRect/>
                    <a:stretch>
                      <a:fillRect/>
                    </a:stretch>
                  </pic:blipFill>
                  <pic:spPr>
                    <a:xfrm>
                      <a:off x="0" y="0"/>
                      <a:ext cx="7155180" cy="5059045"/>
                    </a:xfrm>
                    <a:prstGeom prst="rect">
                      <a:avLst/>
                    </a:prstGeom>
                  </pic:spPr>
                </pic:pic>
              </a:graphicData>
            </a:graphic>
          </wp:inline>
        </w:drawing>
      </w:r>
    </w:p>
    <w:p w:rsidR="00A37F3C" w:rsidRDefault="00A37F3C">
      <w:pPr>
        <w:spacing w:after="0" w:line="240" w:lineRule="auto"/>
        <w:ind w:firstLineChars="0" w:firstLine="0"/>
        <w:jc w:val="center"/>
        <w:rPr>
          <w:rFonts w:cs="Times New Roman"/>
        </w:rPr>
        <w:sectPr w:rsidR="00A37F3C">
          <w:pgSz w:w="16838" w:h="11906" w:orient="landscape"/>
          <w:pgMar w:top="1531" w:right="1134" w:bottom="1531" w:left="1134" w:header="851" w:footer="992" w:gutter="0"/>
          <w:cols w:space="425"/>
          <w:docGrid w:type="lines" w:linePitch="312"/>
        </w:sectPr>
      </w:pPr>
    </w:p>
    <w:p w:rsidR="00A37F3C" w:rsidRDefault="000402D8">
      <w:pPr>
        <w:spacing w:after="0" w:line="240" w:lineRule="auto"/>
        <w:ind w:firstLineChars="0" w:firstLine="0"/>
        <w:jc w:val="center"/>
        <w:rPr>
          <w:rFonts w:cs="Times New Roman"/>
        </w:rPr>
        <w:sectPr w:rsidR="00A37F3C">
          <w:pgSz w:w="16838" w:h="11906" w:orient="landscape"/>
          <w:pgMar w:top="1531" w:right="1134" w:bottom="1531" w:left="1134" w:header="851" w:footer="992" w:gutter="0"/>
          <w:cols w:space="425"/>
          <w:docGrid w:type="lines" w:linePitch="312"/>
        </w:sectPr>
      </w:pPr>
      <w:r>
        <w:rPr>
          <w:rFonts w:cs="Times New Roman"/>
          <w:noProof/>
        </w:rPr>
        <w:lastRenderedPageBreak/>
        <w:drawing>
          <wp:inline distT="0" distB="0" distL="114300" distR="114300">
            <wp:extent cx="7194550" cy="5086985"/>
            <wp:effectExtent l="0" t="0" r="6350" b="18415"/>
            <wp:docPr id="3" name="图片 3" descr="E:\潮阳区土地征收成片开发方案\5.出图\2022年度出图\附图22年度1-3月\3月\梓峰出图\年度计划\年度计划2.jpg年度计划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潮阳区土地征收成片开发方案\5.出图\2022年度出图\附图22年度1-3月\3月\梓峰出图\年度计划\年度计划2.jpg年度计划2"/>
                    <pic:cNvPicPr>
                      <a:picLocks noChangeAspect="1"/>
                    </pic:cNvPicPr>
                  </pic:nvPicPr>
                  <pic:blipFill>
                    <a:blip r:embed="rId15" cstate="print"/>
                    <a:srcRect/>
                    <a:stretch>
                      <a:fillRect/>
                    </a:stretch>
                  </pic:blipFill>
                  <pic:spPr>
                    <a:xfrm>
                      <a:off x="0" y="0"/>
                      <a:ext cx="7194550" cy="5086985"/>
                    </a:xfrm>
                    <a:prstGeom prst="rect">
                      <a:avLst/>
                    </a:prstGeom>
                  </pic:spPr>
                </pic:pic>
              </a:graphicData>
            </a:graphic>
          </wp:inline>
        </w:drawing>
      </w:r>
    </w:p>
    <w:p w:rsidR="00A37F3C" w:rsidRDefault="000402D8">
      <w:pPr>
        <w:spacing w:after="0" w:line="240" w:lineRule="auto"/>
        <w:ind w:firstLineChars="0" w:firstLine="0"/>
        <w:jc w:val="center"/>
        <w:rPr>
          <w:rFonts w:cs="Times New Roman"/>
        </w:rPr>
        <w:sectPr w:rsidR="00A37F3C">
          <w:pgSz w:w="16838" w:h="11906" w:orient="landscape"/>
          <w:pgMar w:top="1531" w:right="1134" w:bottom="1531" w:left="1134" w:header="851" w:footer="992" w:gutter="0"/>
          <w:cols w:space="425"/>
          <w:docGrid w:type="lines" w:linePitch="312"/>
        </w:sectPr>
      </w:pPr>
      <w:r>
        <w:rPr>
          <w:rFonts w:cs="Times New Roman"/>
          <w:noProof/>
        </w:rPr>
        <w:lastRenderedPageBreak/>
        <w:drawing>
          <wp:inline distT="0" distB="0" distL="114300" distR="114300">
            <wp:extent cx="7192645" cy="5085715"/>
            <wp:effectExtent l="0" t="0" r="8255" b="635"/>
            <wp:docPr id="1" name="图片 1" descr="E:\潮阳区土地征收成片开发方案\5.出图\2022年度出图\附图22年度1-3月\3月\梓峰出图\年度计划\年度计划3.jpg年度计划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潮阳区土地征收成片开发方案\5.出图\2022年度出图\附图22年度1-3月\3月\梓峰出图\年度计划\年度计划3.jpg年度计划3"/>
                    <pic:cNvPicPr>
                      <a:picLocks noChangeAspect="1"/>
                    </pic:cNvPicPr>
                  </pic:nvPicPr>
                  <pic:blipFill>
                    <a:blip r:embed="rId16"/>
                    <a:srcRect/>
                    <a:stretch>
                      <a:fillRect/>
                    </a:stretch>
                  </pic:blipFill>
                  <pic:spPr>
                    <a:xfrm>
                      <a:off x="0" y="0"/>
                      <a:ext cx="7192645" cy="5085715"/>
                    </a:xfrm>
                    <a:prstGeom prst="rect">
                      <a:avLst/>
                    </a:prstGeom>
                  </pic:spPr>
                </pic:pic>
              </a:graphicData>
            </a:graphic>
          </wp:inline>
        </w:drawing>
      </w:r>
    </w:p>
    <w:p w:rsidR="00A37F3C" w:rsidRDefault="000402D8">
      <w:pPr>
        <w:spacing w:after="0" w:line="240" w:lineRule="auto"/>
        <w:ind w:firstLineChars="0" w:firstLine="0"/>
        <w:jc w:val="center"/>
        <w:rPr>
          <w:rFonts w:cs="Times New Roman"/>
        </w:rPr>
      </w:pPr>
      <w:r>
        <w:rPr>
          <w:rFonts w:cs="Times New Roman"/>
          <w:noProof/>
        </w:rPr>
        <w:lastRenderedPageBreak/>
        <w:drawing>
          <wp:inline distT="0" distB="0" distL="114300" distR="114300">
            <wp:extent cx="7192645" cy="5085080"/>
            <wp:effectExtent l="0" t="0" r="8255" b="1270"/>
            <wp:docPr id="4" name="图片 4" descr="E:\潮阳区土地征收成片开发方案\5.出图\2022年度出图\附图22年度1-3月\3月\梓峰出图\年度计划\谷饶 (2).jpg谷饶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潮阳区土地征收成片开发方案\5.出图\2022年度出图\附图22年度1-3月\3月\梓峰出图\年度计划\谷饶 (2).jpg谷饶 (2)"/>
                    <pic:cNvPicPr>
                      <a:picLocks noChangeAspect="1"/>
                    </pic:cNvPicPr>
                  </pic:nvPicPr>
                  <pic:blipFill>
                    <a:blip r:embed="rId17"/>
                    <a:srcRect/>
                    <a:stretch>
                      <a:fillRect/>
                    </a:stretch>
                  </pic:blipFill>
                  <pic:spPr>
                    <a:xfrm>
                      <a:off x="0" y="0"/>
                      <a:ext cx="7192645" cy="5085080"/>
                    </a:xfrm>
                    <a:prstGeom prst="rect">
                      <a:avLst/>
                    </a:prstGeom>
                  </pic:spPr>
                </pic:pic>
              </a:graphicData>
            </a:graphic>
          </wp:inline>
        </w:drawing>
      </w:r>
      <w:r>
        <w:rPr>
          <w:rFonts w:cs="Times New Roman"/>
          <w:noProof/>
        </w:rPr>
        <w:lastRenderedPageBreak/>
        <w:drawing>
          <wp:inline distT="0" distB="0" distL="114300" distR="114300">
            <wp:extent cx="7192645" cy="5085080"/>
            <wp:effectExtent l="0" t="0" r="8255" b="1270"/>
            <wp:docPr id="6" name="图片 6" descr="E:\潮阳区土地征收成片开发方案\5.出图\2022年度出图\附图22年度1-3月\3月\梓峰出图\年度计划\年度计划4.jpg年度计划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潮阳区土地征收成片开发方案\5.出图\2022年度出图\附图22年度1-3月\3月\梓峰出图\年度计划\年度计划4.jpg年度计划4"/>
                    <pic:cNvPicPr>
                      <a:picLocks noChangeAspect="1"/>
                    </pic:cNvPicPr>
                  </pic:nvPicPr>
                  <pic:blipFill>
                    <a:blip r:embed="rId18"/>
                    <a:srcRect/>
                    <a:stretch>
                      <a:fillRect/>
                    </a:stretch>
                  </pic:blipFill>
                  <pic:spPr>
                    <a:xfrm>
                      <a:off x="0" y="0"/>
                      <a:ext cx="7192645" cy="5085080"/>
                    </a:xfrm>
                    <a:prstGeom prst="rect">
                      <a:avLst/>
                    </a:prstGeom>
                  </pic:spPr>
                </pic:pic>
              </a:graphicData>
            </a:graphic>
          </wp:inline>
        </w:drawing>
      </w:r>
    </w:p>
    <w:p w:rsidR="00A37F3C" w:rsidRDefault="00A37F3C">
      <w:pPr>
        <w:rPr>
          <w:rFonts w:cs="Times New Roman"/>
        </w:rPr>
      </w:pPr>
    </w:p>
    <w:sectPr w:rsidR="00A37F3C" w:rsidSect="00A37F3C">
      <w:pgSz w:w="16838" w:h="11906" w:orient="landscape"/>
      <w:pgMar w:top="1531" w:right="1134" w:bottom="153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02D8" w:rsidRDefault="000402D8">
      <w:pPr>
        <w:spacing w:line="240" w:lineRule="auto"/>
      </w:pPr>
      <w:r>
        <w:separator/>
      </w:r>
    </w:p>
  </w:endnote>
  <w:endnote w:type="continuationSeparator" w:id="1">
    <w:p w:rsidR="000402D8" w:rsidRDefault="000402D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sig w:usb0="00000000" w:usb1="00000000" w:usb2="00000000" w:usb3="00000000" w:csb0="00000000"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02D8" w:rsidRDefault="000402D8">
      <w:pPr>
        <w:spacing w:after="0"/>
      </w:pPr>
      <w:r>
        <w:separator/>
      </w:r>
    </w:p>
  </w:footnote>
  <w:footnote w:type="continuationSeparator" w:id="1">
    <w:p w:rsidR="000402D8" w:rsidRDefault="000402D8">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6"/>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F3C" w:rsidRDefault="00A37F3C">
    <w:pPr>
      <w:pStyle w:val="a6"/>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2BD2"/>
    <w:rsid w:val="000402D8"/>
    <w:rsid w:val="00074BF6"/>
    <w:rsid w:val="000750E5"/>
    <w:rsid w:val="00097A58"/>
    <w:rsid w:val="000B411D"/>
    <w:rsid w:val="0010270A"/>
    <w:rsid w:val="00155B6E"/>
    <w:rsid w:val="00251982"/>
    <w:rsid w:val="002C2F89"/>
    <w:rsid w:val="00460366"/>
    <w:rsid w:val="004D0258"/>
    <w:rsid w:val="0052503F"/>
    <w:rsid w:val="00531059"/>
    <w:rsid w:val="00567A5B"/>
    <w:rsid w:val="00603B77"/>
    <w:rsid w:val="006832CC"/>
    <w:rsid w:val="00685E5D"/>
    <w:rsid w:val="00A04B7A"/>
    <w:rsid w:val="00A23802"/>
    <w:rsid w:val="00A37F3C"/>
    <w:rsid w:val="00A44BE9"/>
    <w:rsid w:val="00A521C1"/>
    <w:rsid w:val="00A5555F"/>
    <w:rsid w:val="00A661C3"/>
    <w:rsid w:val="00BA35CF"/>
    <w:rsid w:val="00BA3FBD"/>
    <w:rsid w:val="00BA40BD"/>
    <w:rsid w:val="00C02BD2"/>
    <w:rsid w:val="00C46507"/>
    <w:rsid w:val="00C552FB"/>
    <w:rsid w:val="00D0279C"/>
    <w:rsid w:val="00D5763F"/>
    <w:rsid w:val="00DB4D30"/>
    <w:rsid w:val="00E71A0F"/>
    <w:rsid w:val="00E83C69"/>
    <w:rsid w:val="00E85B50"/>
    <w:rsid w:val="00E86570"/>
    <w:rsid w:val="00E946C8"/>
    <w:rsid w:val="00EB0842"/>
    <w:rsid w:val="00ED2ED3"/>
    <w:rsid w:val="00F52CCE"/>
    <w:rsid w:val="00FD23B3"/>
    <w:rsid w:val="01554313"/>
    <w:rsid w:val="01C3518D"/>
    <w:rsid w:val="02234353"/>
    <w:rsid w:val="028F2729"/>
    <w:rsid w:val="02CC110B"/>
    <w:rsid w:val="03CD0F13"/>
    <w:rsid w:val="05453257"/>
    <w:rsid w:val="065C0E0B"/>
    <w:rsid w:val="06775B10"/>
    <w:rsid w:val="08BF1A8B"/>
    <w:rsid w:val="0918619A"/>
    <w:rsid w:val="092B5856"/>
    <w:rsid w:val="099642DD"/>
    <w:rsid w:val="0AB74AB5"/>
    <w:rsid w:val="0B151048"/>
    <w:rsid w:val="0B1A4AD6"/>
    <w:rsid w:val="0CAD1424"/>
    <w:rsid w:val="0D28270B"/>
    <w:rsid w:val="0F4712E8"/>
    <w:rsid w:val="0F535469"/>
    <w:rsid w:val="10285985"/>
    <w:rsid w:val="10A126D7"/>
    <w:rsid w:val="10F94C79"/>
    <w:rsid w:val="1102435F"/>
    <w:rsid w:val="114F1783"/>
    <w:rsid w:val="11A92A60"/>
    <w:rsid w:val="13974BE1"/>
    <w:rsid w:val="157B205F"/>
    <w:rsid w:val="159A4DDC"/>
    <w:rsid w:val="177632E6"/>
    <w:rsid w:val="185B13E4"/>
    <w:rsid w:val="185E0E08"/>
    <w:rsid w:val="1A770DAD"/>
    <w:rsid w:val="1DEA5CAE"/>
    <w:rsid w:val="1E894380"/>
    <w:rsid w:val="1ED97530"/>
    <w:rsid w:val="1F2F7AFD"/>
    <w:rsid w:val="215570F1"/>
    <w:rsid w:val="219676E9"/>
    <w:rsid w:val="21E603F6"/>
    <w:rsid w:val="24676C5E"/>
    <w:rsid w:val="251124C9"/>
    <w:rsid w:val="257B4F33"/>
    <w:rsid w:val="258835D3"/>
    <w:rsid w:val="271D38AE"/>
    <w:rsid w:val="2783611E"/>
    <w:rsid w:val="27B33907"/>
    <w:rsid w:val="284D2644"/>
    <w:rsid w:val="28861E20"/>
    <w:rsid w:val="2A697920"/>
    <w:rsid w:val="2A7D1E20"/>
    <w:rsid w:val="2AB8272B"/>
    <w:rsid w:val="2AD72A5B"/>
    <w:rsid w:val="2B6D5ABB"/>
    <w:rsid w:val="2CCF7E08"/>
    <w:rsid w:val="2CE81977"/>
    <w:rsid w:val="2D520B5D"/>
    <w:rsid w:val="2D5C59A1"/>
    <w:rsid w:val="2D7437A6"/>
    <w:rsid w:val="2F302B75"/>
    <w:rsid w:val="2F703355"/>
    <w:rsid w:val="2F7D2734"/>
    <w:rsid w:val="30874B35"/>
    <w:rsid w:val="310C4BCA"/>
    <w:rsid w:val="32A34B02"/>
    <w:rsid w:val="34ED1198"/>
    <w:rsid w:val="364F40F9"/>
    <w:rsid w:val="3651384D"/>
    <w:rsid w:val="37760CF0"/>
    <w:rsid w:val="37991C97"/>
    <w:rsid w:val="37AB621A"/>
    <w:rsid w:val="38F5283D"/>
    <w:rsid w:val="3AB74267"/>
    <w:rsid w:val="3C850C3F"/>
    <w:rsid w:val="3C9D3C79"/>
    <w:rsid w:val="3DBA0214"/>
    <w:rsid w:val="3DD274DA"/>
    <w:rsid w:val="3E77465A"/>
    <w:rsid w:val="3EAB5349"/>
    <w:rsid w:val="3ED0774C"/>
    <w:rsid w:val="3F2B1751"/>
    <w:rsid w:val="426865F5"/>
    <w:rsid w:val="438E1E99"/>
    <w:rsid w:val="43F20683"/>
    <w:rsid w:val="44AA185B"/>
    <w:rsid w:val="45134551"/>
    <w:rsid w:val="452E2F2B"/>
    <w:rsid w:val="46DD0A1A"/>
    <w:rsid w:val="48867340"/>
    <w:rsid w:val="497A2D7E"/>
    <w:rsid w:val="4A37449E"/>
    <w:rsid w:val="4A9865D5"/>
    <w:rsid w:val="4B563019"/>
    <w:rsid w:val="4C5F7A83"/>
    <w:rsid w:val="4D81748F"/>
    <w:rsid w:val="4E1D0042"/>
    <w:rsid w:val="4E2A1122"/>
    <w:rsid w:val="4E5C4249"/>
    <w:rsid w:val="4EBE4A7B"/>
    <w:rsid w:val="4EE17A1F"/>
    <w:rsid w:val="4FEB694B"/>
    <w:rsid w:val="5058795C"/>
    <w:rsid w:val="509C1D07"/>
    <w:rsid w:val="50A5369F"/>
    <w:rsid w:val="51BE676D"/>
    <w:rsid w:val="521E2BBE"/>
    <w:rsid w:val="53B176F3"/>
    <w:rsid w:val="553F2543"/>
    <w:rsid w:val="55BC6091"/>
    <w:rsid w:val="55FE276D"/>
    <w:rsid w:val="58367260"/>
    <w:rsid w:val="590E37E8"/>
    <w:rsid w:val="59D815A1"/>
    <w:rsid w:val="5B4E7E01"/>
    <w:rsid w:val="5B711F5F"/>
    <w:rsid w:val="5DFF4583"/>
    <w:rsid w:val="5E4F13CC"/>
    <w:rsid w:val="5E735767"/>
    <w:rsid w:val="5FC354B0"/>
    <w:rsid w:val="612C6D46"/>
    <w:rsid w:val="61C97930"/>
    <w:rsid w:val="625E256F"/>
    <w:rsid w:val="62815304"/>
    <w:rsid w:val="62882B47"/>
    <w:rsid w:val="62894626"/>
    <w:rsid w:val="64D6465F"/>
    <w:rsid w:val="65A226DF"/>
    <w:rsid w:val="65E42463"/>
    <w:rsid w:val="67082573"/>
    <w:rsid w:val="67A03FAB"/>
    <w:rsid w:val="68123776"/>
    <w:rsid w:val="681B3A68"/>
    <w:rsid w:val="68552B69"/>
    <w:rsid w:val="6881137F"/>
    <w:rsid w:val="6A180D80"/>
    <w:rsid w:val="6A5103DC"/>
    <w:rsid w:val="6B820923"/>
    <w:rsid w:val="6BD7286C"/>
    <w:rsid w:val="6C10344F"/>
    <w:rsid w:val="6D1702D5"/>
    <w:rsid w:val="6D5D6AF1"/>
    <w:rsid w:val="6E595EF4"/>
    <w:rsid w:val="6F5F4845"/>
    <w:rsid w:val="6FCC4B59"/>
    <w:rsid w:val="70452528"/>
    <w:rsid w:val="717143BE"/>
    <w:rsid w:val="71E24DEA"/>
    <w:rsid w:val="729A18C0"/>
    <w:rsid w:val="730D1B56"/>
    <w:rsid w:val="731B3A2B"/>
    <w:rsid w:val="73905FE7"/>
    <w:rsid w:val="73A4369B"/>
    <w:rsid w:val="74604806"/>
    <w:rsid w:val="75D852B9"/>
    <w:rsid w:val="76295CE2"/>
    <w:rsid w:val="7678087D"/>
    <w:rsid w:val="77FD5CC1"/>
    <w:rsid w:val="781D3CB5"/>
    <w:rsid w:val="78BD22C6"/>
    <w:rsid w:val="78EE1E26"/>
    <w:rsid w:val="78F63F70"/>
    <w:rsid w:val="7A9C05A9"/>
    <w:rsid w:val="7AED03B6"/>
    <w:rsid w:val="7B737649"/>
    <w:rsid w:val="7BCC5911"/>
    <w:rsid w:val="7BD14652"/>
    <w:rsid w:val="7BEA3FD4"/>
    <w:rsid w:val="7C04631D"/>
    <w:rsid w:val="7D6B5D8F"/>
    <w:rsid w:val="7FFB30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7F3C"/>
    <w:pPr>
      <w:widowControl w:val="0"/>
      <w:spacing w:after="156" w:line="360" w:lineRule="auto"/>
      <w:ind w:firstLineChars="200" w:firstLine="600"/>
      <w:jc w:val="both"/>
    </w:pPr>
    <w:rPr>
      <w:rFonts w:eastAsia="仿宋_GB2312" w:cs="宋体"/>
      <w:kern w:val="2"/>
      <w:sz w:val="30"/>
      <w:szCs w:val="21"/>
    </w:rPr>
  </w:style>
  <w:style w:type="paragraph" w:styleId="1">
    <w:name w:val="heading 1"/>
    <w:basedOn w:val="a"/>
    <w:next w:val="a"/>
    <w:uiPriority w:val="9"/>
    <w:qFormat/>
    <w:rsid w:val="00A37F3C"/>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A37F3C"/>
    <w:pPr>
      <w:jc w:val="left"/>
    </w:pPr>
  </w:style>
  <w:style w:type="paragraph" w:styleId="a4">
    <w:name w:val="Balloon Text"/>
    <w:basedOn w:val="a"/>
    <w:link w:val="Char0"/>
    <w:uiPriority w:val="99"/>
    <w:semiHidden/>
    <w:unhideWhenUsed/>
    <w:qFormat/>
    <w:rsid w:val="00A37F3C"/>
    <w:pPr>
      <w:spacing w:after="0" w:line="240" w:lineRule="auto"/>
    </w:pPr>
    <w:rPr>
      <w:sz w:val="18"/>
      <w:szCs w:val="18"/>
    </w:rPr>
  </w:style>
  <w:style w:type="paragraph" w:styleId="a5">
    <w:name w:val="footer"/>
    <w:basedOn w:val="a"/>
    <w:link w:val="Char1"/>
    <w:uiPriority w:val="99"/>
    <w:unhideWhenUsed/>
    <w:qFormat/>
    <w:rsid w:val="00A37F3C"/>
    <w:pPr>
      <w:tabs>
        <w:tab w:val="center" w:pos="4153"/>
        <w:tab w:val="right" w:pos="8306"/>
      </w:tabs>
      <w:snapToGrid w:val="0"/>
      <w:spacing w:line="240" w:lineRule="auto"/>
      <w:jc w:val="left"/>
    </w:pPr>
    <w:rPr>
      <w:sz w:val="18"/>
      <w:szCs w:val="18"/>
    </w:rPr>
  </w:style>
  <w:style w:type="paragraph" w:styleId="a6">
    <w:name w:val="header"/>
    <w:basedOn w:val="a"/>
    <w:link w:val="Char2"/>
    <w:uiPriority w:val="99"/>
    <w:unhideWhenUsed/>
    <w:qFormat/>
    <w:rsid w:val="00A37F3C"/>
    <w:pPr>
      <w:pBdr>
        <w:bottom w:val="single" w:sz="6" w:space="1" w:color="auto"/>
      </w:pBdr>
      <w:tabs>
        <w:tab w:val="center" w:pos="4153"/>
        <w:tab w:val="right" w:pos="8306"/>
      </w:tabs>
      <w:snapToGrid w:val="0"/>
      <w:spacing w:line="240" w:lineRule="auto"/>
      <w:jc w:val="center"/>
    </w:pPr>
    <w:rPr>
      <w:sz w:val="18"/>
      <w:szCs w:val="18"/>
    </w:rPr>
  </w:style>
  <w:style w:type="paragraph" w:styleId="a7">
    <w:name w:val="annotation subject"/>
    <w:basedOn w:val="a3"/>
    <w:next w:val="a3"/>
    <w:link w:val="Char3"/>
    <w:uiPriority w:val="99"/>
    <w:semiHidden/>
    <w:unhideWhenUsed/>
    <w:qFormat/>
    <w:rsid w:val="00A37F3C"/>
    <w:rPr>
      <w:b/>
      <w:bCs/>
    </w:rPr>
  </w:style>
  <w:style w:type="character" w:styleId="a8">
    <w:name w:val="Strong"/>
    <w:basedOn w:val="a0"/>
    <w:uiPriority w:val="22"/>
    <w:qFormat/>
    <w:rsid w:val="00A37F3C"/>
    <w:rPr>
      <w:b/>
    </w:rPr>
  </w:style>
  <w:style w:type="character" w:styleId="a9">
    <w:name w:val="annotation reference"/>
    <w:basedOn w:val="a0"/>
    <w:uiPriority w:val="99"/>
    <w:semiHidden/>
    <w:unhideWhenUsed/>
    <w:qFormat/>
    <w:rsid w:val="00A37F3C"/>
    <w:rPr>
      <w:sz w:val="21"/>
      <w:szCs w:val="21"/>
    </w:rPr>
  </w:style>
  <w:style w:type="character" w:customStyle="1" w:styleId="Char0">
    <w:name w:val="批注框文本 Char"/>
    <w:basedOn w:val="a0"/>
    <w:link w:val="a4"/>
    <w:uiPriority w:val="99"/>
    <w:semiHidden/>
    <w:qFormat/>
    <w:rsid w:val="00A37F3C"/>
    <w:rPr>
      <w:rFonts w:eastAsia="仿宋_GB2312" w:cs="宋体"/>
      <w:kern w:val="2"/>
      <w:sz w:val="18"/>
      <w:szCs w:val="18"/>
    </w:rPr>
  </w:style>
  <w:style w:type="character" w:customStyle="1" w:styleId="Char2">
    <w:name w:val="页眉 Char"/>
    <w:basedOn w:val="a0"/>
    <w:link w:val="a6"/>
    <w:uiPriority w:val="99"/>
    <w:qFormat/>
    <w:rsid w:val="00A37F3C"/>
    <w:rPr>
      <w:rFonts w:eastAsia="仿宋_GB2312" w:cs="宋体"/>
      <w:kern w:val="2"/>
      <w:sz w:val="18"/>
      <w:szCs w:val="18"/>
    </w:rPr>
  </w:style>
  <w:style w:type="character" w:customStyle="1" w:styleId="Char1">
    <w:name w:val="页脚 Char"/>
    <w:basedOn w:val="a0"/>
    <w:link w:val="a5"/>
    <w:uiPriority w:val="99"/>
    <w:qFormat/>
    <w:rsid w:val="00A37F3C"/>
    <w:rPr>
      <w:rFonts w:eastAsia="仿宋_GB2312" w:cs="宋体"/>
      <w:kern w:val="2"/>
      <w:sz w:val="18"/>
      <w:szCs w:val="18"/>
    </w:rPr>
  </w:style>
  <w:style w:type="character" w:customStyle="1" w:styleId="Char">
    <w:name w:val="批注文字 Char"/>
    <w:basedOn w:val="a0"/>
    <w:link w:val="a3"/>
    <w:uiPriority w:val="99"/>
    <w:semiHidden/>
    <w:qFormat/>
    <w:rsid w:val="00A37F3C"/>
    <w:rPr>
      <w:rFonts w:eastAsia="仿宋_GB2312" w:cs="宋体"/>
      <w:kern w:val="2"/>
      <w:sz w:val="30"/>
      <w:szCs w:val="21"/>
    </w:rPr>
  </w:style>
  <w:style w:type="character" w:customStyle="1" w:styleId="Char3">
    <w:name w:val="批注主题 Char"/>
    <w:basedOn w:val="Char"/>
    <w:link w:val="a7"/>
    <w:uiPriority w:val="99"/>
    <w:semiHidden/>
    <w:qFormat/>
    <w:rsid w:val="00A37F3C"/>
    <w:rPr>
      <w:rFonts w:eastAsia="仿宋_GB2312" w:cs="宋体"/>
      <w:b/>
      <w:bCs/>
      <w:kern w:val="2"/>
      <w:sz w:val="3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DC733509-E513-4ADA-A244-EA127CB88BC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731</Words>
  <Characters>4168</Characters>
  <Application>Microsoft Office Word</Application>
  <DocSecurity>0</DocSecurity>
  <Lines>34</Lines>
  <Paragraphs>9</Paragraphs>
  <ScaleCrop>false</ScaleCrop>
  <Company>Far123</Company>
  <LinksUpToDate>false</LinksUpToDate>
  <CharactersWithSpaces>4890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纪泽婷</dc:creator>
  <cp:lastModifiedBy>Administrator</cp:lastModifiedBy>
  <cp:revision>8</cp:revision>
  <cp:lastPrinted>2021-10-19T01:13:00Z</cp:lastPrinted>
  <dcterms:created xsi:type="dcterms:W3CDTF">2022-01-28T01:54:00Z</dcterms:created>
  <dcterms:modified xsi:type="dcterms:W3CDTF">2022-03-09T09:34:00Z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2ED4C87C73F642C283B774F44F07F011</vt:lpwstr>
  </property>
</Properties>
</file>